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B3" w:rsidRPr="00903F94" w:rsidRDefault="00250F85" w:rsidP="00D86830">
      <w:pPr>
        <w:spacing w:after="0" w:line="240" w:lineRule="auto"/>
        <w:outlineLvl w:val="1"/>
        <w:rPr>
          <w:rFonts w:ascii="Calibri" w:hAnsi="Calibri" w:cs="Arial"/>
          <w:i/>
          <w:sz w:val="22"/>
          <w:lang w:val="fr-CH" w:eastAsia="de-CH"/>
        </w:rPr>
      </w:pPr>
      <w:r w:rsidRPr="00903F94">
        <w:rPr>
          <w:rFonts w:ascii="Calibri" w:hAnsi="Calibri" w:cs="Arial"/>
          <w:i/>
          <w:sz w:val="22"/>
          <w:lang w:val="fr-CH" w:eastAsia="de-CH"/>
        </w:rPr>
        <w:t>Communiqué de presse</w:t>
      </w:r>
    </w:p>
    <w:p w:rsidR="005E30B3" w:rsidRPr="00903F94" w:rsidRDefault="005E30B3" w:rsidP="00D86830">
      <w:pPr>
        <w:spacing w:after="0" w:line="240" w:lineRule="auto"/>
        <w:outlineLvl w:val="1"/>
        <w:rPr>
          <w:rFonts w:ascii="Calibri" w:hAnsi="Calibri" w:cs="Arial"/>
          <w:b/>
          <w:szCs w:val="20"/>
          <w:lang w:val="fr-CH" w:eastAsia="de-CH"/>
        </w:rPr>
      </w:pPr>
    </w:p>
    <w:p w:rsidR="005E30B3" w:rsidRPr="00903F94" w:rsidRDefault="00250F85" w:rsidP="00D86830">
      <w:pPr>
        <w:spacing w:after="120" w:line="240" w:lineRule="auto"/>
        <w:outlineLvl w:val="1"/>
        <w:rPr>
          <w:rFonts w:ascii="Calibri" w:hAnsi="Calibri" w:cs="Arial"/>
          <w:b/>
          <w:sz w:val="22"/>
          <w:lang w:val="fr-CH" w:eastAsia="de-CH"/>
        </w:rPr>
      </w:pPr>
      <w:r w:rsidRPr="00903F94">
        <w:rPr>
          <w:rFonts w:ascii="Calibri" w:hAnsi="Calibri" w:cs="Arial"/>
          <w:b/>
          <w:sz w:val="22"/>
          <w:lang w:val="fr-CH" w:eastAsia="de-CH"/>
        </w:rPr>
        <w:t xml:space="preserve">Assemblée générale du 20 avril 2018 de la Caisse suisse de voyage Reka à </w:t>
      </w:r>
      <w:r w:rsidR="00864D44" w:rsidRPr="00903F94">
        <w:rPr>
          <w:rFonts w:ascii="Calibri" w:hAnsi="Calibri" w:cs="Arial"/>
          <w:b/>
          <w:sz w:val="22"/>
          <w:lang w:val="fr-CH" w:eastAsia="de-CH"/>
        </w:rPr>
        <w:t xml:space="preserve">Pfäffikon </w:t>
      </w:r>
      <w:r w:rsidR="00571731">
        <w:rPr>
          <w:rFonts w:ascii="Calibri" w:hAnsi="Calibri" w:cs="Arial"/>
          <w:b/>
          <w:sz w:val="22"/>
          <w:lang w:val="fr-CH" w:eastAsia="de-CH"/>
        </w:rPr>
        <w:t>(</w:t>
      </w:r>
      <w:r w:rsidR="00864D44" w:rsidRPr="00903F94">
        <w:rPr>
          <w:rFonts w:ascii="Calibri" w:hAnsi="Calibri" w:cs="Arial"/>
          <w:b/>
          <w:sz w:val="22"/>
          <w:lang w:val="fr-CH" w:eastAsia="de-CH"/>
        </w:rPr>
        <w:t>SZ</w:t>
      </w:r>
      <w:r w:rsidR="00571731">
        <w:rPr>
          <w:rFonts w:ascii="Calibri" w:hAnsi="Calibri" w:cs="Arial"/>
          <w:b/>
          <w:sz w:val="22"/>
          <w:lang w:val="fr-CH" w:eastAsia="de-CH"/>
        </w:rPr>
        <w:t>)</w:t>
      </w:r>
    </w:p>
    <w:p w:rsidR="005E30B3" w:rsidRPr="00903F94" w:rsidRDefault="00250F85" w:rsidP="00D86830">
      <w:pPr>
        <w:spacing w:after="0" w:line="240" w:lineRule="auto"/>
        <w:outlineLvl w:val="0"/>
        <w:rPr>
          <w:rFonts w:ascii="Calibri" w:hAnsi="Calibri" w:cs="Arial"/>
          <w:b/>
          <w:bCs/>
          <w:kern w:val="36"/>
          <w:sz w:val="26"/>
          <w:szCs w:val="26"/>
          <w:highlight w:val="yellow"/>
          <w:lang w:val="fr-CH" w:eastAsia="de-CH"/>
        </w:rPr>
      </w:pPr>
      <w:r w:rsidRPr="00903F94">
        <w:rPr>
          <w:rFonts w:ascii="Calibri" w:hAnsi="Calibri" w:cs="Arial"/>
          <w:b/>
          <w:bCs/>
          <w:kern w:val="36"/>
          <w:sz w:val="26"/>
          <w:szCs w:val="26"/>
          <w:lang w:val="fr-CH" w:eastAsia="de-CH"/>
        </w:rPr>
        <w:t>Croissance et étape importante vers la numérisation</w:t>
      </w:r>
    </w:p>
    <w:p w:rsidR="005E30B3" w:rsidRPr="00903F94" w:rsidRDefault="005E30B3" w:rsidP="00E80D91">
      <w:pPr>
        <w:spacing w:after="0"/>
        <w:outlineLvl w:val="0"/>
        <w:rPr>
          <w:rFonts w:ascii="Calibri" w:hAnsi="Calibri" w:cs="Arial"/>
          <w:bCs/>
          <w:kern w:val="36"/>
          <w:sz w:val="26"/>
          <w:szCs w:val="26"/>
          <w:highlight w:val="yellow"/>
          <w:lang w:val="fr-CH" w:eastAsia="de-CH"/>
        </w:rPr>
      </w:pPr>
    </w:p>
    <w:p w:rsidR="005E30B3" w:rsidRPr="00903F94" w:rsidRDefault="00226498" w:rsidP="00E80D91">
      <w:pPr>
        <w:spacing w:after="0"/>
        <w:rPr>
          <w:rFonts w:ascii="Calibri" w:hAnsi="Calibri"/>
          <w:b/>
          <w:sz w:val="22"/>
          <w:highlight w:val="yellow"/>
          <w:lang w:val="fr-CH"/>
        </w:rPr>
      </w:pPr>
      <w:r w:rsidRPr="00903F94">
        <w:rPr>
          <w:rFonts w:ascii="Calibri" w:hAnsi="Calibri" w:cs="Arial"/>
          <w:bCs/>
          <w:sz w:val="22"/>
          <w:lang w:val="fr-CH" w:eastAsia="de-CH"/>
        </w:rPr>
        <w:t>Bern</w:t>
      </w:r>
      <w:r w:rsidR="00E854F5" w:rsidRPr="00903F94">
        <w:rPr>
          <w:rFonts w:ascii="Calibri" w:hAnsi="Calibri" w:cs="Arial"/>
          <w:bCs/>
          <w:sz w:val="22"/>
          <w:lang w:val="fr-CH" w:eastAsia="de-CH"/>
        </w:rPr>
        <w:t>e</w:t>
      </w:r>
      <w:r w:rsidR="00A64E91" w:rsidRPr="00903F94">
        <w:rPr>
          <w:rFonts w:ascii="Calibri" w:hAnsi="Calibri" w:cs="Arial"/>
          <w:bCs/>
          <w:sz w:val="22"/>
          <w:lang w:val="fr-CH" w:eastAsia="de-CH"/>
        </w:rPr>
        <w:t>/</w:t>
      </w:r>
      <w:r w:rsidR="00780C8F" w:rsidRPr="00903F94">
        <w:rPr>
          <w:rFonts w:ascii="Calibri" w:hAnsi="Calibri" w:cs="Arial"/>
          <w:bCs/>
          <w:sz w:val="22"/>
          <w:lang w:val="fr-CH" w:eastAsia="de-CH"/>
        </w:rPr>
        <w:t>Pfäffikon</w:t>
      </w:r>
      <w:r w:rsidRPr="00903F94">
        <w:rPr>
          <w:rFonts w:ascii="Calibri" w:hAnsi="Calibri" w:cs="Arial"/>
          <w:bCs/>
          <w:sz w:val="22"/>
          <w:lang w:val="fr-CH" w:eastAsia="de-CH"/>
        </w:rPr>
        <w:t xml:space="preserve">, </w:t>
      </w:r>
      <w:r w:rsidR="00E854F5" w:rsidRPr="00903F94">
        <w:rPr>
          <w:rFonts w:ascii="Calibri" w:hAnsi="Calibri" w:cs="Arial"/>
          <w:bCs/>
          <w:sz w:val="22"/>
          <w:lang w:val="fr-CH" w:eastAsia="de-CH"/>
        </w:rPr>
        <w:t xml:space="preserve">le 20 avril </w:t>
      </w:r>
      <w:r w:rsidR="00780C8F" w:rsidRPr="00903F94">
        <w:rPr>
          <w:rFonts w:ascii="Calibri" w:hAnsi="Calibri" w:cs="Arial"/>
          <w:bCs/>
          <w:sz w:val="22"/>
          <w:lang w:val="fr-CH" w:eastAsia="de-CH"/>
        </w:rPr>
        <w:t>2018</w:t>
      </w:r>
      <w:r w:rsidR="004F20B3" w:rsidRPr="00903F94">
        <w:rPr>
          <w:rFonts w:ascii="Calibri" w:hAnsi="Calibri" w:cs="Arial"/>
          <w:bCs/>
          <w:sz w:val="22"/>
          <w:lang w:val="fr-CH" w:eastAsia="de-CH"/>
        </w:rPr>
        <w:t xml:space="preserve"> </w:t>
      </w:r>
      <w:r w:rsidR="005E30B3" w:rsidRPr="00903F94">
        <w:rPr>
          <w:rFonts w:ascii="Calibri" w:hAnsi="Calibri" w:cs="Arial"/>
          <w:bCs/>
          <w:sz w:val="22"/>
          <w:lang w:val="fr-CH" w:eastAsia="de-CH"/>
        </w:rPr>
        <w:t>–</w:t>
      </w:r>
      <w:r w:rsidR="00FD1A4C" w:rsidRPr="00903F94">
        <w:rPr>
          <w:rFonts w:ascii="Calibri" w:hAnsi="Calibri" w:cs="Arial"/>
          <w:b/>
          <w:bCs/>
          <w:sz w:val="22"/>
          <w:lang w:val="fr-CH" w:eastAsia="de-CH"/>
        </w:rPr>
        <w:t xml:space="preserve"> </w:t>
      </w:r>
      <w:r w:rsidR="00E854F5" w:rsidRPr="00903F94">
        <w:rPr>
          <w:rFonts w:ascii="Calibri" w:hAnsi="Calibri" w:cs="Arial"/>
          <w:b/>
          <w:bCs/>
          <w:sz w:val="22"/>
          <w:lang w:val="fr-CH" w:eastAsia="de-CH"/>
        </w:rPr>
        <w:t xml:space="preserve">La Caisse suisse de voyage Reka a pu augmenter ses </w:t>
      </w:r>
      <w:r w:rsidR="00CA3DEB" w:rsidRPr="00903F94">
        <w:rPr>
          <w:rFonts w:ascii="Calibri" w:hAnsi="Calibri" w:cs="Arial"/>
          <w:b/>
          <w:bCs/>
          <w:sz w:val="22"/>
          <w:lang w:val="fr-CH" w:eastAsia="de-CH"/>
        </w:rPr>
        <w:t>revenus</w:t>
      </w:r>
      <w:r w:rsidR="00E854F5" w:rsidRPr="00903F94">
        <w:rPr>
          <w:rFonts w:ascii="Calibri" w:hAnsi="Calibri" w:cs="Arial"/>
          <w:b/>
          <w:bCs/>
          <w:sz w:val="22"/>
          <w:lang w:val="fr-CH" w:eastAsia="de-CH"/>
        </w:rPr>
        <w:t xml:space="preserve"> dans le secteur des vacances durant l’exercice 2017. Une étape importante vers la numérisation a été </w:t>
      </w:r>
      <w:r w:rsidR="003B575D" w:rsidRPr="00903F94">
        <w:rPr>
          <w:rFonts w:ascii="Calibri" w:hAnsi="Calibri" w:cs="Arial"/>
          <w:b/>
          <w:bCs/>
          <w:sz w:val="22"/>
          <w:lang w:val="fr-CH" w:eastAsia="de-CH"/>
        </w:rPr>
        <w:t>réalisée</w:t>
      </w:r>
      <w:r w:rsidR="008B4623" w:rsidRPr="00903F94">
        <w:rPr>
          <w:rFonts w:ascii="Calibri" w:hAnsi="Calibri" w:cs="Arial"/>
          <w:b/>
          <w:bCs/>
          <w:sz w:val="22"/>
          <w:lang w:val="fr-CH" w:eastAsia="de-CH"/>
        </w:rPr>
        <w:t xml:space="preserve"> avec succès</w:t>
      </w:r>
      <w:r w:rsidR="00E854F5" w:rsidRPr="00903F94">
        <w:rPr>
          <w:rFonts w:ascii="Calibri" w:hAnsi="Calibri" w:cs="Arial"/>
          <w:b/>
          <w:bCs/>
          <w:sz w:val="22"/>
          <w:lang w:val="fr-CH" w:eastAsia="de-CH"/>
        </w:rPr>
        <w:t xml:space="preserve"> dans le secteur des moyens de paiement à prix réduit. Des objectifs intermédiaires importants ont pu être atteints dans la perspective d’une offre </w:t>
      </w:r>
      <w:r w:rsidR="00362565" w:rsidRPr="00903F94">
        <w:rPr>
          <w:rFonts w:ascii="Calibri" w:hAnsi="Calibri" w:cs="Arial"/>
          <w:b/>
          <w:bCs/>
          <w:sz w:val="22"/>
          <w:lang w:val="fr-CH" w:eastAsia="de-CH"/>
        </w:rPr>
        <w:t>accessible</w:t>
      </w:r>
      <w:r w:rsidR="00E854F5" w:rsidRPr="00903F94">
        <w:rPr>
          <w:rFonts w:ascii="Calibri" w:hAnsi="Calibri" w:cs="Arial"/>
          <w:b/>
          <w:bCs/>
          <w:sz w:val="22"/>
          <w:lang w:val="fr-CH" w:eastAsia="de-CH"/>
        </w:rPr>
        <w:t xml:space="preserve"> </w:t>
      </w:r>
      <w:r w:rsidR="00362565" w:rsidRPr="00903F94">
        <w:rPr>
          <w:rFonts w:ascii="Calibri" w:hAnsi="Calibri" w:cs="Arial"/>
          <w:b/>
          <w:bCs/>
          <w:sz w:val="22"/>
          <w:lang w:val="fr-CH" w:eastAsia="de-CH"/>
        </w:rPr>
        <w:t xml:space="preserve">à tous </w:t>
      </w:r>
      <w:r w:rsidR="00E854F5" w:rsidRPr="00903F94">
        <w:rPr>
          <w:rFonts w:ascii="Calibri" w:hAnsi="Calibri" w:cs="Arial"/>
          <w:b/>
          <w:bCs/>
          <w:sz w:val="22"/>
          <w:lang w:val="fr-CH" w:eastAsia="de-CH"/>
        </w:rPr>
        <w:t>et climatique</w:t>
      </w:r>
      <w:r w:rsidR="00362565" w:rsidRPr="00903F94">
        <w:rPr>
          <w:rFonts w:ascii="Calibri" w:hAnsi="Calibri" w:cs="Arial"/>
          <w:b/>
          <w:bCs/>
          <w:sz w:val="22"/>
          <w:lang w:val="fr-CH" w:eastAsia="de-CH"/>
        </w:rPr>
        <w:t>ment neutre</w:t>
      </w:r>
      <w:r w:rsidR="00E854F5" w:rsidRPr="00903F94">
        <w:rPr>
          <w:rFonts w:ascii="Calibri" w:hAnsi="Calibri" w:cs="Arial"/>
          <w:b/>
          <w:bCs/>
          <w:sz w:val="22"/>
          <w:lang w:val="fr-CH" w:eastAsia="de-CH"/>
        </w:rPr>
        <w:t>. Au plan financier, l’exercice boucle sur un résultat annuel</w:t>
      </w:r>
      <w:r w:rsidR="003B575D" w:rsidRPr="00903F94">
        <w:rPr>
          <w:rFonts w:ascii="Calibri" w:hAnsi="Calibri" w:cs="Arial"/>
          <w:b/>
          <w:bCs/>
          <w:sz w:val="22"/>
          <w:lang w:val="fr-CH" w:eastAsia="de-CH"/>
        </w:rPr>
        <w:t xml:space="preserve"> réjouissant</w:t>
      </w:r>
      <w:r w:rsidR="00E854F5" w:rsidRPr="00903F94">
        <w:rPr>
          <w:rFonts w:ascii="Calibri" w:hAnsi="Calibri" w:cs="Arial"/>
          <w:b/>
          <w:bCs/>
          <w:sz w:val="22"/>
          <w:lang w:val="fr-CH" w:eastAsia="de-CH"/>
        </w:rPr>
        <w:t>.</w:t>
      </w:r>
    </w:p>
    <w:p w:rsidR="00E80D91" w:rsidRPr="00903F94" w:rsidRDefault="00E80D91" w:rsidP="00E80D91">
      <w:pPr>
        <w:spacing w:after="0"/>
        <w:outlineLvl w:val="4"/>
        <w:rPr>
          <w:rFonts w:ascii="Calibri" w:hAnsi="Calibri" w:cs="Arial"/>
          <w:b/>
          <w:bCs/>
          <w:sz w:val="22"/>
          <w:highlight w:val="yellow"/>
          <w:lang w:val="fr-CH" w:eastAsia="de-CH"/>
        </w:rPr>
      </w:pPr>
    </w:p>
    <w:p w:rsidR="005F0603" w:rsidRPr="00903F94" w:rsidRDefault="00030B3D" w:rsidP="00E80D91">
      <w:pPr>
        <w:spacing w:after="0"/>
        <w:outlineLvl w:val="4"/>
        <w:rPr>
          <w:rFonts w:ascii="Calibri" w:hAnsi="Calibri" w:cs="Arial"/>
          <w:bCs/>
          <w:sz w:val="22"/>
          <w:lang w:val="fr-CH" w:eastAsia="de-CH"/>
        </w:rPr>
      </w:pPr>
      <w:r w:rsidRPr="00903F94">
        <w:rPr>
          <w:rFonts w:ascii="Calibri" w:hAnsi="Calibri" w:cs="Arial"/>
          <w:bCs/>
          <w:sz w:val="22"/>
          <w:lang w:val="fr-CH" w:eastAsia="de-CH"/>
        </w:rPr>
        <w:t xml:space="preserve">Dans le secteur des vacances, la Caisse suisse de voyage Reka a pu augmenter ses </w:t>
      </w:r>
      <w:r w:rsidR="00AF77B9" w:rsidRPr="00903F94">
        <w:rPr>
          <w:rFonts w:ascii="Calibri" w:hAnsi="Calibri" w:cs="Arial"/>
          <w:bCs/>
          <w:sz w:val="22"/>
          <w:lang w:val="fr-CH" w:eastAsia="de-CH"/>
        </w:rPr>
        <w:t xml:space="preserve">revenus </w:t>
      </w:r>
      <w:r w:rsidRPr="00903F94">
        <w:rPr>
          <w:rFonts w:ascii="Calibri" w:hAnsi="Calibri" w:cs="Arial"/>
          <w:bCs/>
          <w:sz w:val="22"/>
          <w:lang w:val="fr-CH" w:eastAsia="de-CH"/>
        </w:rPr>
        <w:t>nets de 7,2</w:t>
      </w:r>
      <w:r w:rsidR="00571731">
        <w:rPr>
          <w:rFonts w:ascii="Calibri" w:hAnsi="Calibri" w:cs="Arial"/>
          <w:bCs/>
          <w:sz w:val="22"/>
          <w:lang w:val="fr-CH" w:eastAsia="de-CH"/>
        </w:rPr>
        <w:t xml:space="preserve"> </w:t>
      </w:r>
      <w:r w:rsidRPr="00903F94">
        <w:rPr>
          <w:rFonts w:ascii="Calibri" w:hAnsi="Calibri" w:cs="Arial"/>
          <w:bCs/>
          <w:sz w:val="22"/>
          <w:lang w:val="fr-CH" w:eastAsia="de-CH"/>
        </w:rPr>
        <w:t xml:space="preserve">% à 38,9 millions de francs. Les principales </w:t>
      </w:r>
      <w:r w:rsidR="003D269A" w:rsidRPr="00903F94">
        <w:rPr>
          <w:rFonts w:ascii="Calibri" w:hAnsi="Calibri" w:cs="Arial"/>
          <w:bCs/>
          <w:sz w:val="22"/>
          <w:lang w:val="fr-CH" w:eastAsia="de-CH"/>
        </w:rPr>
        <w:t>raisons</w:t>
      </w:r>
      <w:r w:rsidRPr="00903F94">
        <w:rPr>
          <w:rFonts w:ascii="Calibri" w:hAnsi="Calibri" w:cs="Arial"/>
          <w:bCs/>
          <w:sz w:val="22"/>
          <w:lang w:val="fr-CH" w:eastAsia="de-CH"/>
        </w:rPr>
        <w:t xml:space="preserve"> de cette croissance résident dans les capacités accrues, suite à la reprise du </w:t>
      </w:r>
      <w:proofErr w:type="spellStart"/>
      <w:r w:rsidRPr="00903F94">
        <w:rPr>
          <w:rFonts w:ascii="Calibri" w:hAnsi="Calibri" w:cs="Arial"/>
          <w:bCs/>
          <w:sz w:val="22"/>
          <w:lang w:val="fr-CH" w:eastAsia="de-CH"/>
        </w:rPr>
        <w:t>Parkhotel</w:t>
      </w:r>
      <w:proofErr w:type="spellEnd"/>
      <w:r w:rsidRPr="00903F94">
        <w:rPr>
          <w:rFonts w:ascii="Calibri" w:hAnsi="Calibri" w:cs="Arial"/>
          <w:bCs/>
          <w:sz w:val="22"/>
          <w:lang w:val="fr-CH" w:eastAsia="de-CH"/>
        </w:rPr>
        <w:t xml:space="preserve"> </w:t>
      </w:r>
      <w:proofErr w:type="spellStart"/>
      <w:r w:rsidRPr="00903F94">
        <w:rPr>
          <w:rFonts w:ascii="Calibri" w:hAnsi="Calibri" w:cs="Arial"/>
          <w:bCs/>
          <w:sz w:val="22"/>
          <w:lang w:val="fr-CH" w:eastAsia="de-CH"/>
        </w:rPr>
        <w:t>Brenscino</w:t>
      </w:r>
      <w:proofErr w:type="spellEnd"/>
      <w:r w:rsidRPr="00903F94">
        <w:rPr>
          <w:rFonts w:ascii="Calibri" w:hAnsi="Calibri" w:cs="Arial"/>
          <w:bCs/>
          <w:sz w:val="22"/>
          <w:lang w:val="fr-CH" w:eastAsia="de-CH"/>
        </w:rPr>
        <w:t xml:space="preserve">, à </w:t>
      </w:r>
      <w:proofErr w:type="spellStart"/>
      <w:r w:rsidRPr="00903F94">
        <w:rPr>
          <w:rFonts w:ascii="Calibri" w:hAnsi="Calibri" w:cs="Arial"/>
          <w:bCs/>
          <w:sz w:val="22"/>
          <w:lang w:val="fr-CH" w:eastAsia="de-CH"/>
        </w:rPr>
        <w:t>Brissago</w:t>
      </w:r>
      <w:proofErr w:type="spellEnd"/>
      <w:r w:rsidRPr="00903F94">
        <w:rPr>
          <w:rFonts w:ascii="Calibri" w:hAnsi="Calibri" w:cs="Arial"/>
          <w:bCs/>
          <w:sz w:val="22"/>
          <w:lang w:val="fr-CH" w:eastAsia="de-CH"/>
        </w:rPr>
        <w:t xml:space="preserve"> </w:t>
      </w:r>
      <w:r w:rsidR="00571731">
        <w:rPr>
          <w:rFonts w:ascii="Calibri" w:hAnsi="Calibri" w:cs="Arial"/>
          <w:bCs/>
          <w:sz w:val="22"/>
          <w:lang w:val="fr-CH" w:eastAsia="de-CH"/>
        </w:rPr>
        <w:t>(</w:t>
      </w:r>
      <w:r w:rsidRPr="00903F94">
        <w:rPr>
          <w:rFonts w:ascii="Calibri" w:hAnsi="Calibri" w:cs="Arial"/>
          <w:bCs/>
          <w:sz w:val="22"/>
          <w:lang w:val="fr-CH" w:eastAsia="de-CH"/>
        </w:rPr>
        <w:t>TI</w:t>
      </w:r>
      <w:r w:rsidR="00571731">
        <w:rPr>
          <w:rFonts w:ascii="Calibri" w:hAnsi="Calibri" w:cs="Arial"/>
          <w:bCs/>
          <w:sz w:val="22"/>
          <w:lang w:val="fr-CH" w:eastAsia="de-CH"/>
        </w:rPr>
        <w:t>)</w:t>
      </w:r>
      <w:r w:rsidRPr="00903F94">
        <w:rPr>
          <w:rFonts w:ascii="Calibri" w:hAnsi="Calibri" w:cs="Arial"/>
          <w:bCs/>
          <w:sz w:val="22"/>
          <w:lang w:val="fr-CH" w:eastAsia="de-CH"/>
        </w:rPr>
        <w:t xml:space="preserve">, </w:t>
      </w:r>
      <w:r w:rsidR="00571731">
        <w:rPr>
          <w:rFonts w:ascii="Calibri" w:hAnsi="Calibri" w:cs="Arial"/>
          <w:bCs/>
          <w:sz w:val="22"/>
          <w:lang w:val="fr-CH" w:eastAsia="de-CH"/>
        </w:rPr>
        <w:t>la réouverture du village de vacances Reka Zinal en 2016 après rénovation complète ainsi que</w:t>
      </w:r>
      <w:r w:rsidR="0005725F" w:rsidRPr="00903F94">
        <w:rPr>
          <w:rFonts w:ascii="Calibri" w:hAnsi="Calibri" w:cs="Arial"/>
          <w:bCs/>
          <w:sz w:val="22"/>
          <w:lang w:val="fr-CH" w:eastAsia="de-CH"/>
        </w:rPr>
        <w:t xml:space="preserve"> l</w:t>
      </w:r>
      <w:r w:rsidRPr="00903F94">
        <w:rPr>
          <w:rFonts w:ascii="Calibri" w:hAnsi="Calibri" w:cs="Arial"/>
          <w:bCs/>
          <w:sz w:val="22"/>
          <w:lang w:val="fr-CH" w:eastAsia="de-CH"/>
        </w:rPr>
        <w:t xml:space="preserve">es affaires à l’étranger. Cette évolution réjouissante a été quelque peu freinée par un léger recul du taux d’occupation des résidences Reka en Suisse, en raison d’une concentration des vacances scolaires de plusieurs grands cantons en 2017. Dans le secteur des moyens de paiement à prix réduit, les </w:t>
      </w:r>
      <w:r w:rsidR="003D269A" w:rsidRPr="00903F94">
        <w:rPr>
          <w:rFonts w:ascii="Calibri" w:hAnsi="Calibri" w:cs="Arial"/>
          <w:bCs/>
          <w:sz w:val="22"/>
          <w:lang w:val="fr-CH" w:eastAsia="de-CH"/>
        </w:rPr>
        <w:t>revenus nets</w:t>
      </w:r>
      <w:r w:rsidRPr="00903F94">
        <w:rPr>
          <w:rFonts w:ascii="Calibri" w:hAnsi="Calibri" w:cs="Arial"/>
          <w:bCs/>
          <w:sz w:val="22"/>
          <w:lang w:val="fr-CH" w:eastAsia="de-CH"/>
        </w:rPr>
        <w:t xml:space="preserve"> </w:t>
      </w:r>
      <w:r w:rsidR="003D269A" w:rsidRPr="00903F94">
        <w:rPr>
          <w:rFonts w:ascii="Calibri" w:hAnsi="Calibri" w:cs="Arial"/>
          <w:bCs/>
          <w:sz w:val="22"/>
          <w:lang w:val="fr-CH" w:eastAsia="de-CH"/>
        </w:rPr>
        <w:t xml:space="preserve">ont </w:t>
      </w:r>
      <w:r w:rsidRPr="00903F94">
        <w:rPr>
          <w:rFonts w:ascii="Calibri" w:hAnsi="Calibri" w:cs="Arial"/>
          <w:bCs/>
          <w:sz w:val="22"/>
          <w:lang w:val="fr-CH" w:eastAsia="de-CH"/>
        </w:rPr>
        <w:t>diminué de 2,0 % à 22,4 millions</w:t>
      </w:r>
      <w:r w:rsidR="00F203B0" w:rsidRPr="00903F94">
        <w:rPr>
          <w:rFonts w:ascii="Calibri" w:hAnsi="Calibri" w:cs="Arial"/>
          <w:bCs/>
          <w:sz w:val="22"/>
          <w:lang w:val="fr-CH" w:eastAsia="de-CH"/>
        </w:rPr>
        <w:t xml:space="preserve"> de francs</w:t>
      </w:r>
      <w:r w:rsidRPr="00903F94">
        <w:rPr>
          <w:rFonts w:ascii="Calibri" w:hAnsi="Calibri" w:cs="Arial"/>
          <w:bCs/>
          <w:sz w:val="22"/>
          <w:lang w:val="fr-CH" w:eastAsia="de-CH"/>
        </w:rPr>
        <w:t xml:space="preserve">, en 2017, ce qui résulte principalement du recul du nombre de bénéficiaires d’argent Reka chez les employeurs des secteurs bancaire et du commerce de détail. Ces secteurs font l’objet d’une structuration imposée par le marché. L’acquisition de nouveaux clients a en revanche nettement dépassé la moyenne de ces dix dernières années. </w:t>
      </w:r>
    </w:p>
    <w:p w:rsidR="005F0603" w:rsidRPr="00903F94" w:rsidRDefault="005F0603" w:rsidP="00E80D91">
      <w:pPr>
        <w:spacing w:after="0"/>
        <w:outlineLvl w:val="4"/>
        <w:rPr>
          <w:rFonts w:ascii="Calibri" w:hAnsi="Calibri" w:cs="Arial"/>
          <w:bCs/>
          <w:sz w:val="22"/>
          <w:lang w:val="fr-CH" w:eastAsia="de-CH"/>
        </w:rPr>
      </w:pPr>
    </w:p>
    <w:p w:rsidR="005F0603" w:rsidRPr="00903F94" w:rsidRDefault="00030B3D" w:rsidP="00E80D91">
      <w:pPr>
        <w:spacing w:after="0"/>
        <w:outlineLvl w:val="4"/>
        <w:rPr>
          <w:rFonts w:ascii="Calibri" w:hAnsi="Calibri" w:cs="Arial"/>
          <w:b/>
          <w:bCs/>
          <w:sz w:val="22"/>
          <w:lang w:val="fr-CH" w:eastAsia="de-CH"/>
        </w:rPr>
      </w:pPr>
      <w:r w:rsidRPr="00903F94">
        <w:rPr>
          <w:rFonts w:ascii="Calibri" w:hAnsi="Calibri" w:cs="Arial"/>
          <w:b/>
          <w:bCs/>
          <w:sz w:val="22"/>
          <w:lang w:val="fr-CH" w:eastAsia="de-CH"/>
        </w:rPr>
        <w:t xml:space="preserve">Le projet Argent </w:t>
      </w:r>
      <w:r w:rsidR="00EE5B22" w:rsidRPr="00903F94">
        <w:rPr>
          <w:rFonts w:ascii="Calibri" w:hAnsi="Calibri" w:cs="Arial"/>
          <w:b/>
          <w:bCs/>
          <w:sz w:val="22"/>
          <w:lang w:val="fr-CH" w:eastAsia="de-CH"/>
        </w:rPr>
        <w:t>Reka</w:t>
      </w:r>
      <w:r w:rsidRPr="00903F94">
        <w:rPr>
          <w:rFonts w:ascii="Calibri" w:hAnsi="Calibri" w:cs="Arial"/>
          <w:b/>
          <w:bCs/>
          <w:sz w:val="22"/>
          <w:lang w:val="fr-CH" w:eastAsia="de-CH"/>
        </w:rPr>
        <w:t xml:space="preserve"> </w:t>
      </w:r>
      <w:r w:rsidR="00EE5B22" w:rsidRPr="00903F94">
        <w:rPr>
          <w:rFonts w:ascii="Calibri" w:hAnsi="Calibri" w:cs="Arial"/>
          <w:b/>
          <w:bCs/>
          <w:sz w:val="22"/>
          <w:lang w:val="fr-CH" w:eastAsia="de-CH"/>
        </w:rPr>
        <w:t xml:space="preserve">3.0 </w:t>
      </w:r>
      <w:r w:rsidRPr="00903F94">
        <w:rPr>
          <w:rFonts w:ascii="Calibri" w:hAnsi="Calibri" w:cs="Arial"/>
          <w:b/>
          <w:bCs/>
          <w:sz w:val="22"/>
          <w:lang w:val="fr-CH" w:eastAsia="de-CH"/>
        </w:rPr>
        <w:t>fait progresser la numérisation</w:t>
      </w:r>
    </w:p>
    <w:p w:rsidR="005F0E71" w:rsidRPr="00903F94" w:rsidRDefault="00030B3D" w:rsidP="005F0E71">
      <w:pPr>
        <w:spacing w:after="0"/>
        <w:outlineLvl w:val="4"/>
        <w:rPr>
          <w:rFonts w:ascii="Calibri" w:hAnsi="Calibri" w:cs="Arial"/>
          <w:bCs/>
          <w:sz w:val="22"/>
          <w:lang w:val="fr-CH" w:eastAsia="de-CH"/>
        </w:rPr>
      </w:pPr>
      <w:r w:rsidRPr="00903F94">
        <w:rPr>
          <w:rFonts w:ascii="Calibri" w:hAnsi="Calibri" w:cs="Arial"/>
          <w:bCs/>
          <w:sz w:val="22"/>
          <w:lang w:val="fr-CH" w:eastAsia="de-CH"/>
        </w:rPr>
        <w:t>Depuis fin 2017, Reka exploi</w:t>
      </w:r>
      <w:r w:rsidR="00472506" w:rsidRPr="00903F94">
        <w:rPr>
          <w:rFonts w:ascii="Calibri" w:hAnsi="Calibri" w:cs="Arial"/>
          <w:bCs/>
          <w:sz w:val="22"/>
          <w:lang w:val="fr-CH" w:eastAsia="de-CH"/>
        </w:rPr>
        <w:t>t</w:t>
      </w:r>
      <w:r w:rsidRPr="00903F94">
        <w:rPr>
          <w:rFonts w:ascii="Calibri" w:hAnsi="Calibri" w:cs="Arial"/>
          <w:bCs/>
          <w:sz w:val="22"/>
          <w:lang w:val="fr-CH" w:eastAsia="de-CH"/>
        </w:rPr>
        <w:t xml:space="preserve">e elle-même un système de paiement sans argent liquide. </w:t>
      </w:r>
      <w:r w:rsidR="000E36DC" w:rsidRPr="00903F94">
        <w:rPr>
          <w:rFonts w:ascii="Calibri" w:hAnsi="Calibri" w:cs="Arial"/>
          <w:bCs/>
          <w:sz w:val="22"/>
          <w:lang w:val="fr-CH" w:eastAsia="de-CH"/>
        </w:rPr>
        <w:t>Elle assure, pour cela, l’ensemble des fonctions de gestion des comptes des clients, d’édition des cartes de paiement et d’acquisition des points d’acceptation. Ces nouvelles capacités entraînent également un changement de paradigme dans la perception de l’argent Reka. Jusqu’ici, les différentes formes d’argent Reka, à savoir le chèque Reka, Reka</w:t>
      </w:r>
      <w:r w:rsidR="00571731">
        <w:rPr>
          <w:rFonts w:ascii="Calibri" w:hAnsi="Calibri" w:cs="Arial"/>
          <w:bCs/>
          <w:sz w:val="22"/>
          <w:lang w:val="fr-CH" w:eastAsia="de-CH"/>
        </w:rPr>
        <w:t xml:space="preserve"> </w:t>
      </w:r>
      <w:r w:rsidR="000E36DC" w:rsidRPr="00903F94">
        <w:rPr>
          <w:rFonts w:ascii="Calibri" w:hAnsi="Calibri" w:cs="Arial"/>
          <w:bCs/>
          <w:sz w:val="22"/>
          <w:lang w:val="fr-CH" w:eastAsia="de-CH"/>
        </w:rPr>
        <w:t xml:space="preserve">Rail et Reka-Lunch, étaient toujours liées à un moyen de paiement concret. Nouvellement, les utilisateurs acquièrent un avoir sous la forme correspondante d’argent Reka, p.ex. </w:t>
      </w:r>
      <w:proofErr w:type="gramStart"/>
      <w:r w:rsidR="000E36DC" w:rsidRPr="00903F94">
        <w:rPr>
          <w:rFonts w:ascii="Calibri" w:hAnsi="Calibri" w:cs="Arial"/>
          <w:bCs/>
          <w:sz w:val="22"/>
          <w:lang w:val="fr-CH" w:eastAsia="de-CH"/>
        </w:rPr>
        <w:t>des</w:t>
      </w:r>
      <w:proofErr w:type="gramEnd"/>
      <w:r w:rsidR="000E36DC" w:rsidRPr="00903F94">
        <w:rPr>
          <w:rFonts w:ascii="Calibri" w:hAnsi="Calibri" w:cs="Arial"/>
          <w:bCs/>
          <w:sz w:val="22"/>
          <w:lang w:val="fr-CH" w:eastAsia="de-CH"/>
        </w:rPr>
        <w:t xml:space="preserve"> chèques Reka. Ils les dépensent ensuite avec les moyens de paiement de leur choix (liquide, Reka-</w:t>
      </w:r>
      <w:proofErr w:type="spellStart"/>
      <w:r w:rsidR="000E36DC" w:rsidRPr="00903F94">
        <w:rPr>
          <w:rFonts w:ascii="Calibri" w:hAnsi="Calibri" w:cs="Arial"/>
          <w:bCs/>
          <w:sz w:val="22"/>
          <w:lang w:val="fr-CH" w:eastAsia="de-CH"/>
        </w:rPr>
        <w:t>Card</w:t>
      </w:r>
      <w:proofErr w:type="spellEnd"/>
      <w:r w:rsidR="000E36DC" w:rsidRPr="00903F94">
        <w:rPr>
          <w:rFonts w:ascii="Calibri" w:hAnsi="Calibri" w:cs="Arial"/>
          <w:bCs/>
          <w:sz w:val="22"/>
          <w:lang w:val="fr-CH" w:eastAsia="de-CH"/>
        </w:rPr>
        <w:t xml:space="preserve">, en ligne, </w:t>
      </w:r>
      <w:proofErr w:type="spellStart"/>
      <w:r w:rsidR="000E36DC" w:rsidRPr="00903F94">
        <w:rPr>
          <w:rFonts w:ascii="Calibri" w:hAnsi="Calibri" w:cs="Arial"/>
          <w:bCs/>
          <w:sz w:val="22"/>
          <w:lang w:val="fr-CH" w:eastAsia="de-CH"/>
        </w:rPr>
        <w:t>RekaNet</w:t>
      </w:r>
      <w:proofErr w:type="spellEnd"/>
      <w:r w:rsidR="000E36DC" w:rsidRPr="00903F94">
        <w:rPr>
          <w:rFonts w:ascii="Calibri" w:hAnsi="Calibri" w:cs="Arial"/>
          <w:bCs/>
          <w:sz w:val="22"/>
          <w:lang w:val="fr-CH" w:eastAsia="de-CH"/>
        </w:rPr>
        <w:t>). La Reka-</w:t>
      </w:r>
      <w:proofErr w:type="spellStart"/>
      <w:r w:rsidR="000E36DC" w:rsidRPr="00903F94">
        <w:rPr>
          <w:rFonts w:ascii="Calibri" w:hAnsi="Calibri" w:cs="Arial"/>
          <w:bCs/>
          <w:sz w:val="22"/>
          <w:lang w:val="fr-CH" w:eastAsia="de-CH"/>
        </w:rPr>
        <w:t>Card</w:t>
      </w:r>
      <w:proofErr w:type="spellEnd"/>
      <w:r w:rsidR="000E36DC" w:rsidRPr="00903F94">
        <w:rPr>
          <w:rFonts w:ascii="Calibri" w:hAnsi="Calibri" w:cs="Arial"/>
          <w:bCs/>
          <w:sz w:val="22"/>
          <w:lang w:val="fr-CH" w:eastAsia="de-CH"/>
        </w:rPr>
        <w:t xml:space="preserve"> </w:t>
      </w:r>
      <w:r w:rsidR="00D75883" w:rsidRPr="00903F94">
        <w:rPr>
          <w:rFonts w:ascii="Calibri" w:hAnsi="Calibri" w:cs="Arial"/>
          <w:bCs/>
          <w:sz w:val="22"/>
          <w:lang w:val="fr-CH" w:eastAsia="de-CH"/>
        </w:rPr>
        <w:t>est alors</w:t>
      </w:r>
      <w:r w:rsidR="0005725F" w:rsidRPr="00903F94">
        <w:rPr>
          <w:rFonts w:ascii="Calibri" w:hAnsi="Calibri" w:cs="Arial"/>
          <w:bCs/>
          <w:sz w:val="22"/>
          <w:lang w:val="fr-CH" w:eastAsia="de-CH"/>
        </w:rPr>
        <w:t xml:space="preserve"> </w:t>
      </w:r>
      <w:r w:rsidR="000E36DC" w:rsidRPr="00903F94">
        <w:rPr>
          <w:rFonts w:ascii="Calibri" w:hAnsi="Calibri" w:cs="Arial"/>
          <w:bCs/>
          <w:sz w:val="22"/>
          <w:lang w:val="fr-CH" w:eastAsia="de-CH"/>
        </w:rPr>
        <w:t xml:space="preserve">le support </w:t>
      </w:r>
      <w:r w:rsidR="00D75883" w:rsidRPr="00903F94">
        <w:rPr>
          <w:rFonts w:ascii="Calibri" w:hAnsi="Calibri" w:cs="Arial"/>
          <w:bCs/>
          <w:sz w:val="22"/>
          <w:lang w:val="fr-CH" w:eastAsia="de-CH"/>
        </w:rPr>
        <w:t xml:space="preserve">matériel </w:t>
      </w:r>
      <w:r w:rsidR="000E36DC" w:rsidRPr="00903F94">
        <w:rPr>
          <w:rFonts w:ascii="Calibri" w:hAnsi="Calibri" w:cs="Arial"/>
          <w:bCs/>
          <w:sz w:val="22"/>
          <w:lang w:val="fr-CH" w:eastAsia="de-CH"/>
        </w:rPr>
        <w:t xml:space="preserve">pour toutes les formes d’argent Reka. </w:t>
      </w:r>
      <w:r w:rsidR="00571731">
        <w:rPr>
          <w:rFonts w:ascii="Calibri" w:hAnsi="Calibri" w:cs="Arial"/>
          <w:bCs/>
          <w:sz w:val="22"/>
          <w:lang w:val="fr-CH" w:eastAsia="de-CH"/>
        </w:rPr>
        <w:t>À</w:t>
      </w:r>
      <w:r w:rsidR="000E36DC" w:rsidRPr="00903F94">
        <w:rPr>
          <w:rFonts w:ascii="Calibri" w:hAnsi="Calibri" w:cs="Arial"/>
          <w:bCs/>
          <w:sz w:val="22"/>
          <w:lang w:val="fr-CH" w:eastAsia="de-CH"/>
        </w:rPr>
        <w:t xml:space="preserve"> travers cette étape, Reka a créé les conditions de base pour assurer son succès sur un marché en rapide évolution.</w:t>
      </w:r>
    </w:p>
    <w:p w:rsidR="005F0603" w:rsidRPr="00903F94" w:rsidRDefault="005F0603" w:rsidP="00E80D91">
      <w:pPr>
        <w:spacing w:after="0"/>
        <w:outlineLvl w:val="4"/>
        <w:rPr>
          <w:rFonts w:ascii="Calibri" w:hAnsi="Calibri" w:cs="Arial"/>
          <w:bCs/>
          <w:sz w:val="22"/>
          <w:lang w:val="fr-CH" w:eastAsia="de-CH"/>
        </w:rPr>
      </w:pPr>
    </w:p>
    <w:p w:rsidR="004A274D" w:rsidRPr="00903F94" w:rsidRDefault="000E36DC" w:rsidP="00E80D91">
      <w:pPr>
        <w:spacing w:after="0"/>
        <w:outlineLvl w:val="4"/>
        <w:rPr>
          <w:rFonts w:ascii="Calibri" w:hAnsi="Calibri" w:cs="Arial"/>
          <w:b/>
          <w:bCs/>
          <w:sz w:val="22"/>
          <w:lang w:val="fr-CH" w:eastAsia="de-CH"/>
        </w:rPr>
      </w:pPr>
      <w:r w:rsidRPr="00903F94">
        <w:rPr>
          <w:rFonts w:ascii="Calibri" w:hAnsi="Calibri" w:cs="Arial"/>
          <w:b/>
          <w:bCs/>
          <w:sz w:val="22"/>
          <w:lang w:val="fr-CH" w:eastAsia="de-CH"/>
        </w:rPr>
        <w:t xml:space="preserve">Vers une offre </w:t>
      </w:r>
      <w:r w:rsidR="00362565" w:rsidRPr="00903F94">
        <w:rPr>
          <w:rFonts w:ascii="Calibri" w:hAnsi="Calibri" w:cs="Arial"/>
          <w:b/>
          <w:bCs/>
          <w:sz w:val="22"/>
          <w:lang w:val="fr-CH" w:eastAsia="de-CH"/>
        </w:rPr>
        <w:t xml:space="preserve">accessible à tous </w:t>
      </w:r>
      <w:r w:rsidRPr="00903F94">
        <w:rPr>
          <w:rFonts w:ascii="Calibri" w:hAnsi="Calibri" w:cs="Arial"/>
          <w:b/>
          <w:bCs/>
          <w:sz w:val="22"/>
          <w:lang w:val="fr-CH" w:eastAsia="de-CH"/>
        </w:rPr>
        <w:t>et climatiquement neutre</w:t>
      </w:r>
    </w:p>
    <w:p w:rsidR="005F0603" w:rsidRPr="00903F94" w:rsidRDefault="00472506" w:rsidP="00E80D91">
      <w:pPr>
        <w:spacing w:after="0"/>
        <w:outlineLvl w:val="4"/>
        <w:rPr>
          <w:rFonts w:ascii="Calibri" w:hAnsi="Calibri" w:cs="Arial"/>
          <w:bCs/>
          <w:sz w:val="22"/>
          <w:lang w:val="fr-CH" w:eastAsia="de-CH"/>
        </w:rPr>
      </w:pPr>
      <w:r w:rsidRPr="00903F94">
        <w:rPr>
          <w:rFonts w:ascii="Calibri" w:hAnsi="Calibri" w:cs="Arial"/>
          <w:bCs/>
          <w:sz w:val="22"/>
          <w:lang w:val="fr-CH" w:eastAsia="de-CH"/>
        </w:rPr>
        <w:t xml:space="preserve">Dans le cadre de son orientation d’utilité publique, Reka a </w:t>
      </w:r>
      <w:r w:rsidR="00F70BC4" w:rsidRPr="00903F94">
        <w:rPr>
          <w:rFonts w:ascii="Calibri" w:hAnsi="Calibri" w:cs="Arial"/>
          <w:bCs/>
          <w:sz w:val="22"/>
          <w:lang w:val="fr-CH" w:eastAsia="de-CH"/>
        </w:rPr>
        <w:t>réalisé, en 2017, de nombreuses prestations dans le domaine de la dur</w:t>
      </w:r>
      <w:r w:rsidR="00571731">
        <w:rPr>
          <w:rFonts w:ascii="Calibri" w:hAnsi="Calibri" w:cs="Arial"/>
          <w:bCs/>
          <w:sz w:val="22"/>
          <w:lang w:val="fr-CH" w:eastAsia="de-CH"/>
        </w:rPr>
        <w:t>abilité sociale et écologique. À</w:t>
      </w:r>
      <w:r w:rsidR="00F70BC4" w:rsidRPr="00903F94">
        <w:rPr>
          <w:rFonts w:ascii="Calibri" w:hAnsi="Calibri" w:cs="Arial"/>
          <w:bCs/>
          <w:sz w:val="22"/>
          <w:lang w:val="fr-CH" w:eastAsia="de-CH"/>
        </w:rPr>
        <w:t xml:space="preserve"> côté de </w:t>
      </w:r>
      <w:r w:rsidR="008B6070" w:rsidRPr="00903F94">
        <w:rPr>
          <w:rFonts w:ascii="Calibri" w:hAnsi="Calibri" w:cs="Arial"/>
          <w:bCs/>
          <w:sz w:val="22"/>
          <w:lang w:val="fr-CH" w:eastAsia="de-CH"/>
        </w:rPr>
        <w:t>l’</w:t>
      </w:r>
      <w:r w:rsidR="00F70BC4" w:rsidRPr="00903F94">
        <w:rPr>
          <w:rFonts w:ascii="Calibri" w:hAnsi="Calibri" w:cs="Arial"/>
          <w:bCs/>
          <w:sz w:val="22"/>
          <w:lang w:val="fr-CH" w:eastAsia="de-CH"/>
        </w:rPr>
        <w:t xml:space="preserve">accent </w:t>
      </w:r>
      <w:r w:rsidR="008B6070" w:rsidRPr="00903F94">
        <w:rPr>
          <w:rFonts w:ascii="Calibri" w:hAnsi="Calibri" w:cs="Arial"/>
          <w:bCs/>
          <w:sz w:val="22"/>
          <w:lang w:val="fr-CH" w:eastAsia="de-CH"/>
        </w:rPr>
        <w:t xml:space="preserve">qu’elle met </w:t>
      </w:r>
      <w:r w:rsidR="00F70BC4" w:rsidRPr="00903F94">
        <w:rPr>
          <w:rFonts w:ascii="Calibri" w:hAnsi="Calibri" w:cs="Arial"/>
          <w:bCs/>
          <w:sz w:val="22"/>
          <w:lang w:val="fr-CH" w:eastAsia="de-CH"/>
        </w:rPr>
        <w:t>traditionnel</w:t>
      </w:r>
      <w:r w:rsidR="008B6070" w:rsidRPr="00903F94">
        <w:rPr>
          <w:rFonts w:ascii="Calibri" w:hAnsi="Calibri" w:cs="Arial"/>
          <w:bCs/>
          <w:sz w:val="22"/>
          <w:lang w:val="fr-CH" w:eastAsia="de-CH"/>
        </w:rPr>
        <w:t>lement</w:t>
      </w:r>
      <w:r w:rsidR="00F70BC4" w:rsidRPr="00903F94">
        <w:rPr>
          <w:rFonts w:ascii="Calibri" w:hAnsi="Calibri" w:cs="Arial"/>
          <w:bCs/>
          <w:sz w:val="22"/>
          <w:lang w:val="fr-CH" w:eastAsia="de-CH"/>
        </w:rPr>
        <w:t xml:space="preserve"> sur les familles, en tant que groupe de population particulièrement sollicité</w:t>
      </w:r>
      <w:r w:rsidR="007401F8" w:rsidRPr="00903F94">
        <w:rPr>
          <w:rFonts w:ascii="Calibri" w:hAnsi="Calibri" w:cs="Arial"/>
          <w:bCs/>
          <w:sz w:val="22"/>
          <w:lang w:val="fr-CH" w:eastAsia="de-CH"/>
        </w:rPr>
        <w:t xml:space="preserve"> au plan économique</w:t>
      </w:r>
      <w:r w:rsidR="00F70BC4" w:rsidRPr="00903F94">
        <w:rPr>
          <w:rFonts w:ascii="Calibri" w:hAnsi="Calibri" w:cs="Arial"/>
          <w:bCs/>
          <w:sz w:val="22"/>
          <w:lang w:val="fr-CH" w:eastAsia="de-CH"/>
        </w:rPr>
        <w:t>, et de l’aide sociale aux vacances</w:t>
      </w:r>
      <w:r w:rsidR="00FD5251" w:rsidRPr="00903F94">
        <w:rPr>
          <w:rFonts w:ascii="Calibri" w:hAnsi="Calibri" w:cs="Arial"/>
          <w:bCs/>
          <w:sz w:val="22"/>
          <w:lang w:val="fr-CH" w:eastAsia="de-CH"/>
        </w:rPr>
        <w:t xml:space="preserve"> pour personnes dans le besoin, elle s’engage de plus en plus</w:t>
      </w:r>
      <w:r w:rsidR="007401F8" w:rsidRPr="00903F94">
        <w:rPr>
          <w:rFonts w:ascii="Calibri" w:hAnsi="Calibri" w:cs="Arial"/>
          <w:bCs/>
          <w:sz w:val="22"/>
          <w:lang w:val="fr-CH" w:eastAsia="de-CH"/>
        </w:rPr>
        <w:t>,</w:t>
      </w:r>
      <w:r w:rsidR="00FD5251" w:rsidRPr="00903F94">
        <w:rPr>
          <w:rFonts w:ascii="Calibri" w:hAnsi="Calibri" w:cs="Arial"/>
          <w:bCs/>
          <w:sz w:val="22"/>
          <w:lang w:val="fr-CH" w:eastAsia="de-CH"/>
        </w:rPr>
        <w:t xml:space="preserve"> avec la fondation « </w:t>
      </w:r>
      <w:proofErr w:type="spellStart"/>
      <w:r w:rsidR="00926909" w:rsidRPr="00903F94">
        <w:rPr>
          <w:rFonts w:ascii="Calibri" w:hAnsi="Calibri" w:cs="Arial"/>
          <w:bCs/>
          <w:sz w:val="22"/>
          <w:lang w:val="fr-CH" w:eastAsia="de-CH"/>
        </w:rPr>
        <w:t>Denk</w:t>
      </w:r>
      <w:proofErr w:type="spellEnd"/>
      <w:r w:rsidR="00926909" w:rsidRPr="00903F94">
        <w:rPr>
          <w:rFonts w:ascii="Calibri" w:hAnsi="Calibri" w:cs="Arial"/>
          <w:bCs/>
          <w:sz w:val="22"/>
          <w:lang w:val="fr-CH" w:eastAsia="de-CH"/>
        </w:rPr>
        <w:t xml:space="preserve"> a</w:t>
      </w:r>
      <w:r w:rsidR="00FD5251" w:rsidRPr="00903F94">
        <w:rPr>
          <w:rFonts w:ascii="Calibri" w:hAnsi="Calibri" w:cs="Arial"/>
          <w:bCs/>
          <w:sz w:val="22"/>
          <w:lang w:val="fr-CH" w:eastAsia="de-CH"/>
        </w:rPr>
        <w:t xml:space="preserve">n </w:t>
      </w:r>
      <w:proofErr w:type="spellStart"/>
      <w:r w:rsidR="00FD5251" w:rsidRPr="00903F94">
        <w:rPr>
          <w:rFonts w:ascii="Calibri" w:hAnsi="Calibri" w:cs="Arial"/>
          <w:bCs/>
          <w:sz w:val="22"/>
          <w:lang w:val="fr-CH" w:eastAsia="de-CH"/>
        </w:rPr>
        <w:t>mich</w:t>
      </w:r>
      <w:proofErr w:type="spellEnd"/>
      <w:r w:rsidR="00FD5251" w:rsidRPr="00903F94">
        <w:rPr>
          <w:rFonts w:ascii="Calibri" w:hAnsi="Calibri" w:cs="Arial"/>
          <w:bCs/>
          <w:sz w:val="22"/>
          <w:lang w:val="fr-CH" w:eastAsia="de-CH"/>
        </w:rPr>
        <w:t> »</w:t>
      </w:r>
      <w:r w:rsidR="007401F8" w:rsidRPr="00903F94">
        <w:rPr>
          <w:rFonts w:ascii="Calibri" w:hAnsi="Calibri" w:cs="Arial"/>
          <w:bCs/>
          <w:sz w:val="22"/>
          <w:lang w:val="fr-CH" w:eastAsia="de-CH"/>
        </w:rPr>
        <w:t>,</w:t>
      </w:r>
      <w:r w:rsidR="00FD5251" w:rsidRPr="00903F94">
        <w:rPr>
          <w:rFonts w:ascii="Calibri" w:hAnsi="Calibri" w:cs="Arial"/>
          <w:bCs/>
          <w:sz w:val="22"/>
          <w:lang w:val="fr-CH" w:eastAsia="de-CH"/>
        </w:rPr>
        <w:t xml:space="preserve"> pour une Suisse </w:t>
      </w:r>
      <w:r w:rsidR="007401F8" w:rsidRPr="00903F94">
        <w:rPr>
          <w:rFonts w:ascii="Calibri" w:hAnsi="Calibri" w:cs="Arial"/>
          <w:bCs/>
          <w:sz w:val="22"/>
          <w:lang w:val="fr-CH" w:eastAsia="de-CH"/>
        </w:rPr>
        <w:t>accessible à tous</w:t>
      </w:r>
      <w:r w:rsidR="00FD5251" w:rsidRPr="00903F94">
        <w:rPr>
          <w:rFonts w:ascii="Calibri" w:hAnsi="Calibri" w:cs="Arial"/>
          <w:bCs/>
          <w:sz w:val="22"/>
          <w:lang w:val="fr-CH" w:eastAsia="de-CH"/>
        </w:rPr>
        <w:t>.</w:t>
      </w:r>
      <w:r w:rsidR="008B6070" w:rsidRPr="00903F94">
        <w:rPr>
          <w:rFonts w:ascii="Calibri" w:hAnsi="Calibri" w:cs="Arial"/>
          <w:bCs/>
          <w:sz w:val="22"/>
          <w:lang w:val="fr-CH" w:eastAsia="de-CH"/>
        </w:rPr>
        <w:t xml:space="preserve"> Parallèlement, elle continue d’investir dans la protection du climat. Aujourd’hui déjà, </w:t>
      </w:r>
      <w:r w:rsidR="00571731">
        <w:rPr>
          <w:rFonts w:ascii="Calibri" w:hAnsi="Calibri" w:cs="Arial"/>
          <w:bCs/>
          <w:sz w:val="22"/>
          <w:lang w:val="fr-CH" w:eastAsia="de-CH"/>
        </w:rPr>
        <w:t>8</w:t>
      </w:r>
      <w:r w:rsidR="008B6070" w:rsidRPr="00903F94">
        <w:rPr>
          <w:rFonts w:ascii="Calibri" w:hAnsi="Calibri" w:cs="Arial"/>
          <w:bCs/>
          <w:sz w:val="22"/>
          <w:lang w:val="fr-CH" w:eastAsia="de-CH"/>
        </w:rPr>
        <w:t xml:space="preserve"> villages de vacances Reka sur 12 tirent leur énergie </w:t>
      </w:r>
      <w:r w:rsidR="007401F8" w:rsidRPr="00903F94">
        <w:rPr>
          <w:rFonts w:ascii="Calibri" w:hAnsi="Calibri" w:cs="Arial"/>
          <w:bCs/>
          <w:sz w:val="22"/>
          <w:lang w:val="fr-CH" w:eastAsia="de-CH"/>
        </w:rPr>
        <w:t>thermique</w:t>
      </w:r>
      <w:r w:rsidR="008B6070" w:rsidRPr="00903F94">
        <w:rPr>
          <w:rFonts w:ascii="Calibri" w:hAnsi="Calibri" w:cs="Arial"/>
          <w:bCs/>
          <w:sz w:val="22"/>
          <w:lang w:val="fr-CH" w:eastAsia="de-CH"/>
        </w:rPr>
        <w:t xml:space="preserve"> du soleil, de la géothermie ou de bois suisse. Reka est membre de l’</w:t>
      </w:r>
      <w:r w:rsidR="000F1581" w:rsidRPr="00903F94">
        <w:rPr>
          <w:rFonts w:ascii="Calibri" w:hAnsi="Calibri" w:cs="Arial"/>
          <w:bCs/>
          <w:sz w:val="22"/>
          <w:lang w:val="fr-CH" w:eastAsia="de-CH"/>
        </w:rPr>
        <w:t>i</w:t>
      </w:r>
      <w:r w:rsidR="008B6070" w:rsidRPr="00903F94">
        <w:rPr>
          <w:rFonts w:ascii="Calibri" w:hAnsi="Calibri" w:cs="Arial"/>
          <w:bCs/>
          <w:sz w:val="22"/>
          <w:lang w:val="fr-CH" w:eastAsia="de-CH"/>
        </w:rPr>
        <w:t xml:space="preserve">nitiative </w:t>
      </w:r>
      <w:r w:rsidR="000F1581" w:rsidRPr="00903F94">
        <w:rPr>
          <w:rFonts w:ascii="Calibri" w:hAnsi="Calibri" w:cs="Arial"/>
          <w:bCs/>
          <w:sz w:val="22"/>
          <w:lang w:val="fr-CH" w:eastAsia="de-CH"/>
        </w:rPr>
        <w:t xml:space="preserve">« Cause </w:t>
      </w:r>
      <w:proofErr w:type="spellStart"/>
      <w:r w:rsidR="000F1581" w:rsidRPr="00903F94">
        <w:rPr>
          <w:rFonts w:ascii="Calibri" w:hAnsi="Calibri" w:cs="Arial"/>
          <w:bCs/>
          <w:sz w:val="22"/>
          <w:lang w:val="fr-CH" w:eastAsia="de-CH"/>
        </w:rPr>
        <w:t>we</w:t>
      </w:r>
      <w:proofErr w:type="spellEnd"/>
      <w:r w:rsidR="000F1581" w:rsidRPr="00903F94">
        <w:rPr>
          <w:rFonts w:ascii="Calibri" w:hAnsi="Calibri" w:cs="Arial"/>
          <w:bCs/>
          <w:sz w:val="22"/>
          <w:lang w:val="fr-CH" w:eastAsia="de-CH"/>
        </w:rPr>
        <w:t xml:space="preserve"> care » de </w:t>
      </w:r>
      <w:proofErr w:type="spellStart"/>
      <w:r w:rsidR="000F1581" w:rsidRPr="00903F94">
        <w:rPr>
          <w:rFonts w:ascii="Calibri" w:hAnsi="Calibri" w:cs="Arial"/>
          <w:bCs/>
          <w:sz w:val="22"/>
          <w:lang w:val="fr-CH" w:eastAsia="de-CH"/>
        </w:rPr>
        <w:t>myClimate</w:t>
      </w:r>
      <w:proofErr w:type="spellEnd"/>
      <w:r w:rsidR="000F1581" w:rsidRPr="00903F94">
        <w:rPr>
          <w:rFonts w:ascii="Calibri" w:hAnsi="Calibri" w:cs="Arial"/>
          <w:bCs/>
          <w:sz w:val="22"/>
          <w:lang w:val="fr-CH" w:eastAsia="de-CH"/>
        </w:rPr>
        <w:t xml:space="preserve"> </w:t>
      </w:r>
      <w:r w:rsidR="008B6070" w:rsidRPr="00903F94">
        <w:rPr>
          <w:rFonts w:ascii="Calibri" w:hAnsi="Calibri" w:cs="Arial"/>
          <w:bCs/>
          <w:sz w:val="22"/>
          <w:lang w:val="fr-CH" w:eastAsia="de-CH"/>
        </w:rPr>
        <w:t xml:space="preserve">pour la protection du climat et </w:t>
      </w:r>
      <w:r w:rsidR="007401F8" w:rsidRPr="00903F94">
        <w:rPr>
          <w:rFonts w:ascii="Calibri" w:hAnsi="Calibri" w:cs="Arial"/>
          <w:bCs/>
          <w:sz w:val="22"/>
          <w:lang w:val="fr-CH" w:eastAsia="de-CH"/>
        </w:rPr>
        <w:t>le</w:t>
      </w:r>
      <w:r w:rsidR="008B6070" w:rsidRPr="00903F94">
        <w:rPr>
          <w:rFonts w:ascii="Calibri" w:hAnsi="Calibri" w:cs="Arial"/>
          <w:bCs/>
          <w:sz w:val="22"/>
          <w:lang w:val="fr-CH" w:eastAsia="de-CH"/>
        </w:rPr>
        <w:t xml:space="preserve"> tourisme durable.</w:t>
      </w:r>
      <w:r w:rsidR="00F70BC4" w:rsidRPr="00903F94">
        <w:rPr>
          <w:rFonts w:ascii="Calibri" w:hAnsi="Calibri" w:cs="Arial"/>
          <w:bCs/>
          <w:sz w:val="22"/>
          <w:lang w:val="fr-CH" w:eastAsia="de-CH"/>
        </w:rPr>
        <w:t xml:space="preserve"> </w:t>
      </w:r>
    </w:p>
    <w:p w:rsidR="00F15219" w:rsidRPr="00903F94" w:rsidRDefault="00F15219" w:rsidP="00E80D91">
      <w:pPr>
        <w:spacing w:after="0"/>
        <w:outlineLvl w:val="4"/>
        <w:rPr>
          <w:rFonts w:ascii="Calibri" w:hAnsi="Calibri" w:cs="Arial"/>
          <w:bCs/>
          <w:sz w:val="22"/>
          <w:lang w:val="fr-CH" w:eastAsia="de-CH"/>
        </w:rPr>
      </w:pPr>
    </w:p>
    <w:p w:rsidR="004A274D" w:rsidRPr="00903F94" w:rsidRDefault="004A274D" w:rsidP="00E80D91">
      <w:pPr>
        <w:spacing w:after="0"/>
        <w:outlineLvl w:val="4"/>
        <w:rPr>
          <w:rFonts w:ascii="Calibri" w:hAnsi="Calibri" w:cs="Arial"/>
          <w:b/>
          <w:bCs/>
          <w:sz w:val="22"/>
          <w:lang w:val="fr-CH" w:eastAsia="de-CH"/>
        </w:rPr>
      </w:pPr>
    </w:p>
    <w:p w:rsidR="004A274D" w:rsidRPr="00903F94" w:rsidRDefault="004A274D" w:rsidP="00E80D91">
      <w:pPr>
        <w:spacing w:after="0"/>
        <w:outlineLvl w:val="4"/>
        <w:rPr>
          <w:rFonts w:ascii="Calibri" w:hAnsi="Calibri" w:cs="Arial"/>
          <w:b/>
          <w:bCs/>
          <w:sz w:val="22"/>
          <w:lang w:val="fr-CH" w:eastAsia="de-CH"/>
        </w:rPr>
      </w:pPr>
    </w:p>
    <w:p w:rsidR="004A274D" w:rsidRPr="00903F94" w:rsidRDefault="007D258D" w:rsidP="00E80D91">
      <w:pPr>
        <w:spacing w:after="0"/>
        <w:outlineLvl w:val="4"/>
        <w:rPr>
          <w:rFonts w:ascii="Calibri" w:hAnsi="Calibri" w:cs="Arial"/>
          <w:b/>
          <w:bCs/>
          <w:sz w:val="22"/>
          <w:lang w:val="fr-CH" w:eastAsia="de-CH"/>
        </w:rPr>
      </w:pPr>
      <w:r w:rsidRPr="00903F94">
        <w:rPr>
          <w:rFonts w:ascii="Calibri" w:hAnsi="Calibri" w:cs="Arial"/>
          <w:b/>
          <w:bCs/>
          <w:sz w:val="22"/>
          <w:lang w:val="fr-CH" w:eastAsia="de-CH"/>
        </w:rPr>
        <w:t>Résultat annuel réjouissant</w:t>
      </w:r>
    </w:p>
    <w:p w:rsidR="00AE2C55" w:rsidRPr="00903F94" w:rsidRDefault="007D258D" w:rsidP="00E80D91">
      <w:pPr>
        <w:spacing w:after="0"/>
        <w:outlineLvl w:val="4"/>
        <w:rPr>
          <w:rFonts w:ascii="Calibri" w:hAnsi="Calibri" w:cs="Arial"/>
          <w:bCs/>
          <w:sz w:val="22"/>
          <w:lang w:val="fr-CH" w:eastAsia="de-CH"/>
        </w:rPr>
      </w:pPr>
      <w:r w:rsidRPr="00903F94">
        <w:rPr>
          <w:rFonts w:ascii="Calibri" w:hAnsi="Calibri" w:cs="Arial"/>
          <w:bCs/>
          <w:sz w:val="22"/>
          <w:lang w:val="fr-CH" w:eastAsia="de-CH"/>
        </w:rPr>
        <w:t xml:space="preserve">Les recettes nettes </w:t>
      </w:r>
      <w:r w:rsidR="00F203B0" w:rsidRPr="00903F94">
        <w:rPr>
          <w:rFonts w:ascii="Calibri" w:hAnsi="Calibri" w:cs="Arial"/>
          <w:bCs/>
          <w:sz w:val="22"/>
          <w:lang w:val="fr-CH" w:eastAsia="de-CH"/>
        </w:rPr>
        <w:t xml:space="preserve">de 2017 ont augmenté de 18,9 % par rapport à l’année précédente, </w:t>
      </w:r>
      <w:r w:rsidR="005B4707" w:rsidRPr="00903F94">
        <w:rPr>
          <w:rFonts w:ascii="Calibri" w:hAnsi="Calibri" w:cs="Arial"/>
          <w:bCs/>
          <w:sz w:val="22"/>
          <w:lang w:val="fr-CH" w:eastAsia="de-CH"/>
        </w:rPr>
        <w:t>pour atteindre</w:t>
      </w:r>
      <w:r w:rsidR="00F203B0" w:rsidRPr="00903F94">
        <w:rPr>
          <w:rFonts w:ascii="Calibri" w:hAnsi="Calibri" w:cs="Arial"/>
          <w:bCs/>
          <w:sz w:val="22"/>
          <w:lang w:val="fr-CH" w:eastAsia="de-CH"/>
        </w:rPr>
        <w:t xml:space="preserve"> 85,6 millions de francs. Cette évolution positive résulte de la progression des affaires dans le secteur des vacances, mais surtout de l’augmentation du rendement des placements de fortune. Dans ce domaine, ce sont avant tout des facteurs extraordinaires liés à la restructuration des placements qui ont joué un rôle </w:t>
      </w:r>
      <w:r w:rsidR="005B4707" w:rsidRPr="00903F94">
        <w:rPr>
          <w:rFonts w:ascii="Calibri" w:hAnsi="Calibri" w:cs="Arial"/>
          <w:bCs/>
          <w:sz w:val="22"/>
          <w:lang w:val="fr-CH" w:eastAsia="de-CH"/>
        </w:rPr>
        <w:t>déterminant</w:t>
      </w:r>
      <w:r w:rsidR="00F203B0" w:rsidRPr="00903F94">
        <w:rPr>
          <w:rFonts w:ascii="Calibri" w:hAnsi="Calibri" w:cs="Arial"/>
          <w:bCs/>
          <w:sz w:val="22"/>
          <w:lang w:val="fr-CH" w:eastAsia="de-CH"/>
        </w:rPr>
        <w:t xml:space="preserve">. Avec un résultat </w:t>
      </w:r>
      <w:r w:rsidR="00AF77B9" w:rsidRPr="00903F94">
        <w:rPr>
          <w:rFonts w:ascii="Calibri" w:hAnsi="Calibri" w:cs="Arial"/>
          <w:bCs/>
          <w:sz w:val="22"/>
          <w:lang w:val="fr-CH" w:eastAsia="de-CH"/>
        </w:rPr>
        <w:t>d’exploitation</w:t>
      </w:r>
      <w:r w:rsidR="00F203B0" w:rsidRPr="00903F94">
        <w:rPr>
          <w:rFonts w:ascii="Calibri" w:hAnsi="Calibri" w:cs="Arial"/>
          <w:bCs/>
          <w:sz w:val="22"/>
          <w:lang w:val="fr-CH" w:eastAsia="de-CH"/>
        </w:rPr>
        <w:t xml:space="preserve"> de 2,1 millions de francs et un résultat</w:t>
      </w:r>
      <w:r w:rsidR="00AF77B9" w:rsidRPr="00903F94">
        <w:rPr>
          <w:rFonts w:ascii="Calibri" w:hAnsi="Calibri" w:cs="Arial"/>
          <w:bCs/>
          <w:sz w:val="22"/>
          <w:lang w:val="fr-CH" w:eastAsia="de-CH"/>
        </w:rPr>
        <w:t xml:space="preserve"> de l’exercice de 3,0 millions de francs, Reka peut se réjouir d’un exercice très positif.</w:t>
      </w:r>
    </w:p>
    <w:p w:rsidR="00E173CE" w:rsidRPr="00903F94" w:rsidRDefault="00E173CE" w:rsidP="00D86830">
      <w:pPr>
        <w:spacing w:after="0" w:line="240" w:lineRule="auto"/>
        <w:outlineLvl w:val="4"/>
        <w:rPr>
          <w:rFonts w:ascii="Calibri" w:hAnsi="Calibri" w:cs="Arial"/>
          <w:b/>
          <w:bCs/>
          <w:color w:val="000000"/>
          <w:sz w:val="22"/>
          <w:lang w:val="fr-CH" w:eastAsia="de-CH"/>
        </w:rPr>
      </w:pPr>
    </w:p>
    <w:p w:rsidR="004A274D" w:rsidRPr="00903F94" w:rsidRDefault="004A274D" w:rsidP="00D86830">
      <w:pPr>
        <w:spacing w:after="0" w:line="240" w:lineRule="auto"/>
        <w:outlineLvl w:val="4"/>
        <w:rPr>
          <w:rFonts w:ascii="Calibri" w:hAnsi="Calibri" w:cs="Arial"/>
          <w:b/>
          <w:bCs/>
          <w:color w:val="000000"/>
          <w:sz w:val="22"/>
          <w:lang w:val="fr-CH" w:eastAsia="de-CH"/>
        </w:rPr>
      </w:pPr>
    </w:p>
    <w:p w:rsidR="005E30B3" w:rsidRPr="00903F94" w:rsidRDefault="00AF77B9" w:rsidP="00D86830">
      <w:pPr>
        <w:spacing w:after="0" w:line="240" w:lineRule="auto"/>
        <w:outlineLvl w:val="4"/>
        <w:rPr>
          <w:rFonts w:ascii="Calibri" w:hAnsi="Calibri" w:cs="Arial"/>
          <w:b/>
          <w:bCs/>
          <w:color w:val="000000"/>
          <w:sz w:val="22"/>
          <w:lang w:val="fr-CH" w:eastAsia="de-CH"/>
        </w:rPr>
      </w:pPr>
      <w:r w:rsidRPr="00903F94">
        <w:rPr>
          <w:rFonts w:ascii="Calibri" w:hAnsi="Calibri" w:cs="Arial"/>
          <w:b/>
          <w:bCs/>
          <w:color w:val="000000"/>
          <w:sz w:val="22"/>
          <w:lang w:val="fr-CH" w:eastAsia="de-CH"/>
        </w:rPr>
        <w:t>Chiffres clés 2017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992"/>
        <w:gridCol w:w="992"/>
      </w:tblGrid>
      <w:tr w:rsidR="00CE78C9" w:rsidRPr="007F6317" w:rsidTr="00AF77B9">
        <w:tc>
          <w:tcPr>
            <w:tcW w:w="2268" w:type="dxa"/>
            <w:vAlign w:val="bottom"/>
          </w:tcPr>
          <w:p w:rsidR="00CE78C9" w:rsidRPr="00903F94" w:rsidRDefault="00AF77B9" w:rsidP="007F6317">
            <w:pPr>
              <w:spacing w:after="0"/>
              <w:rPr>
                <w:rFonts w:ascii="Calibri" w:hAnsi="Calibri" w:cs="Arial"/>
                <w:color w:val="000000"/>
                <w:sz w:val="22"/>
                <w:lang w:val="fr-CH"/>
              </w:rPr>
            </w:pPr>
            <w:r w:rsidRPr="00903F94">
              <w:rPr>
                <w:rFonts w:ascii="Calibri" w:hAnsi="Calibri" w:cs="Arial"/>
                <w:color w:val="000000"/>
                <w:sz w:val="22"/>
                <w:lang w:val="fr-CH"/>
              </w:rPr>
              <w:t xml:space="preserve">En </w:t>
            </w:r>
            <w:proofErr w:type="spellStart"/>
            <w:r w:rsidR="007F6317">
              <w:rPr>
                <w:rFonts w:ascii="Calibri" w:hAnsi="Calibri" w:cs="Arial"/>
                <w:color w:val="000000"/>
                <w:sz w:val="22"/>
                <w:lang w:val="fr-CH"/>
              </w:rPr>
              <w:t>mio</w:t>
            </w:r>
            <w:proofErr w:type="spellEnd"/>
            <w:r w:rsidR="007F6317">
              <w:rPr>
                <w:rFonts w:ascii="Calibri" w:hAnsi="Calibri" w:cs="Arial"/>
                <w:color w:val="000000"/>
                <w:sz w:val="22"/>
                <w:lang w:val="fr-CH"/>
              </w:rPr>
              <w:t xml:space="preserve"> </w:t>
            </w:r>
            <w:r w:rsidRPr="00903F94">
              <w:rPr>
                <w:rFonts w:ascii="Calibri" w:hAnsi="Calibri" w:cs="Arial"/>
                <w:color w:val="000000"/>
                <w:sz w:val="22"/>
                <w:lang w:val="fr-CH"/>
              </w:rPr>
              <w:t>CHF</w:t>
            </w:r>
          </w:p>
        </w:tc>
        <w:tc>
          <w:tcPr>
            <w:tcW w:w="992" w:type="dxa"/>
          </w:tcPr>
          <w:p w:rsidR="00CE78C9" w:rsidRPr="00903F94" w:rsidRDefault="00CE78C9" w:rsidP="00410E5C">
            <w:pPr>
              <w:spacing w:after="0"/>
              <w:jc w:val="right"/>
              <w:rPr>
                <w:rFonts w:ascii="Calibri" w:hAnsi="Calibri" w:cs="Arial"/>
                <w:b/>
                <w:color w:val="000000"/>
                <w:sz w:val="22"/>
                <w:lang w:val="fr-CH"/>
              </w:rPr>
            </w:pPr>
            <w:r w:rsidRPr="00903F94">
              <w:rPr>
                <w:rFonts w:ascii="Calibri" w:hAnsi="Calibri" w:cs="Arial"/>
                <w:b/>
                <w:color w:val="000000"/>
                <w:sz w:val="22"/>
                <w:lang w:val="fr-CH"/>
              </w:rPr>
              <w:t>201</w:t>
            </w:r>
            <w:r w:rsidR="00410E5C" w:rsidRPr="00903F94">
              <w:rPr>
                <w:rFonts w:ascii="Calibri" w:hAnsi="Calibri" w:cs="Arial"/>
                <w:b/>
                <w:color w:val="000000"/>
                <w:sz w:val="22"/>
                <w:lang w:val="fr-CH"/>
              </w:rPr>
              <w:t>7</w:t>
            </w:r>
          </w:p>
        </w:tc>
        <w:tc>
          <w:tcPr>
            <w:tcW w:w="992" w:type="dxa"/>
          </w:tcPr>
          <w:p w:rsidR="00CE78C9" w:rsidRPr="00903F94" w:rsidRDefault="00CE78C9" w:rsidP="00410E5C">
            <w:pPr>
              <w:spacing w:after="0"/>
              <w:jc w:val="right"/>
              <w:rPr>
                <w:rFonts w:ascii="Calibri" w:hAnsi="Calibri" w:cs="Arial"/>
                <w:b/>
                <w:color w:val="000000"/>
                <w:sz w:val="22"/>
                <w:lang w:val="fr-CH"/>
              </w:rPr>
            </w:pPr>
            <w:r w:rsidRPr="00903F94">
              <w:rPr>
                <w:rFonts w:ascii="Calibri" w:hAnsi="Calibri" w:cs="Arial"/>
                <w:b/>
                <w:color w:val="000000"/>
                <w:sz w:val="22"/>
                <w:lang w:val="fr-CH"/>
              </w:rPr>
              <w:t>201</w:t>
            </w:r>
            <w:r w:rsidR="00410E5C" w:rsidRPr="00903F94">
              <w:rPr>
                <w:rFonts w:ascii="Calibri" w:hAnsi="Calibri" w:cs="Arial"/>
                <w:b/>
                <w:color w:val="000000"/>
                <w:sz w:val="22"/>
                <w:lang w:val="fr-CH"/>
              </w:rPr>
              <w:t>6</w:t>
            </w:r>
          </w:p>
        </w:tc>
      </w:tr>
      <w:tr w:rsidR="00410E5C" w:rsidRPr="007F6317" w:rsidTr="00AF77B9">
        <w:tc>
          <w:tcPr>
            <w:tcW w:w="2268" w:type="dxa"/>
          </w:tcPr>
          <w:p w:rsidR="00410E5C" w:rsidRPr="00903F94" w:rsidRDefault="00AF77B9" w:rsidP="00014400">
            <w:pPr>
              <w:spacing w:after="0"/>
              <w:rPr>
                <w:rFonts w:ascii="Calibri" w:hAnsi="Calibri" w:cs="Arial"/>
                <w:color w:val="000000"/>
                <w:sz w:val="22"/>
                <w:lang w:val="fr-CH"/>
              </w:rPr>
            </w:pPr>
            <w:r w:rsidRPr="00903F94">
              <w:rPr>
                <w:rFonts w:ascii="Calibri" w:hAnsi="Calibri" w:cs="Arial"/>
                <w:color w:val="000000"/>
                <w:sz w:val="22"/>
                <w:lang w:val="fr-CH"/>
              </w:rPr>
              <w:t>Revenus nets</w:t>
            </w:r>
          </w:p>
        </w:tc>
        <w:tc>
          <w:tcPr>
            <w:tcW w:w="992" w:type="dxa"/>
          </w:tcPr>
          <w:p w:rsidR="00410E5C" w:rsidRPr="00903F94" w:rsidRDefault="003B1D5D" w:rsidP="00571731">
            <w:pPr>
              <w:spacing w:after="0"/>
              <w:jc w:val="right"/>
              <w:rPr>
                <w:rFonts w:ascii="Calibri" w:hAnsi="Calibri" w:cs="Arial"/>
                <w:color w:val="000000"/>
                <w:sz w:val="22"/>
                <w:lang w:val="fr-CH"/>
              </w:rPr>
            </w:pPr>
            <w:r w:rsidRPr="00903F94">
              <w:rPr>
                <w:rFonts w:ascii="Calibri" w:hAnsi="Calibri" w:cs="Arial"/>
                <w:color w:val="000000"/>
                <w:sz w:val="22"/>
                <w:lang w:val="fr-CH"/>
              </w:rPr>
              <w:t>85</w:t>
            </w:r>
            <w:r w:rsidR="00571731">
              <w:rPr>
                <w:rFonts w:ascii="Calibri" w:hAnsi="Calibri" w:cs="Arial"/>
                <w:color w:val="000000"/>
                <w:sz w:val="22"/>
                <w:lang w:val="fr-CH"/>
              </w:rPr>
              <w:t>.</w:t>
            </w:r>
            <w:r w:rsidR="000F1C02" w:rsidRPr="00903F94">
              <w:rPr>
                <w:rFonts w:ascii="Calibri" w:hAnsi="Calibri" w:cs="Arial"/>
                <w:color w:val="000000"/>
                <w:sz w:val="22"/>
                <w:lang w:val="fr-CH"/>
              </w:rPr>
              <w:t>6</w:t>
            </w:r>
          </w:p>
        </w:tc>
        <w:tc>
          <w:tcPr>
            <w:tcW w:w="992" w:type="dxa"/>
          </w:tcPr>
          <w:p w:rsidR="00410E5C" w:rsidRPr="00903F94" w:rsidRDefault="003B1D5D" w:rsidP="00571731">
            <w:pPr>
              <w:spacing w:after="0"/>
              <w:jc w:val="right"/>
              <w:rPr>
                <w:rFonts w:ascii="Calibri" w:hAnsi="Calibri" w:cs="Arial"/>
                <w:color w:val="000000"/>
                <w:sz w:val="22"/>
                <w:lang w:val="fr-CH"/>
              </w:rPr>
            </w:pPr>
            <w:r w:rsidRPr="00903F94">
              <w:rPr>
                <w:rFonts w:ascii="Calibri" w:hAnsi="Calibri" w:cs="Arial"/>
                <w:color w:val="000000"/>
                <w:sz w:val="22"/>
                <w:lang w:val="fr-CH"/>
              </w:rPr>
              <w:t>72</w:t>
            </w:r>
            <w:r w:rsidR="00571731">
              <w:rPr>
                <w:rFonts w:ascii="Calibri" w:hAnsi="Calibri" w:cs="Arial"/>
                <w:color w:val="000000"/>
                <w:sz w:val="22"/>
                <w:lang w:val="fr-CH"/>
              </w:rPr>
              <w:t>.</w:t>
            </w:r>
            <w:r w:rsidR="00410E5C" w:rsidRPr="00903F94">
              <w:rPr>
                <w:rFonts w:ascii="Calibri" w:hAnsi="Calibri" w:cs="Arial"/>
                <w:color w:val="000000"/>
                <w:sz w:val="22"/>
                <w:lang w:val="fr-CH"/>
              </w:rPr>
              <w:t>0</w:t>
            </w:r>
          </w:p>
        </w:tc>
      </w:tr>
      <w:tr w:rsidR="00410E5C" w:rsidRPr="007F6317" w:rsidTr="00AF77B9">
        <w:tc>
          <w:tcPr>
            <w:tcW w:w="2268" w:type="dxa"/>
          </w:tcPr>
          <w:p w:rsidR="00410E5C" w:rsidRPr="00903F94" w:rsidRDefault="00AF77B9" w:rsidP="00014400">
            <w:pPr>
              <w:spacing w:after="0"/>
              <w:rPr>
                <w:rFonts w:ascii="Calibri" w:hAnsi="Calibri" w:cs="Arial"/>
                <w:color w:val="000000"/>
                <w:sz w:val="22"/>
                <w:lang w:val="fr-CH"/>
              </w:rPr>
            </w:pPr>
            <w:r w:rsidRPr="00903F94">
              <w:rPr>
                <w:rFonts w:ascii="Calibri" w:hAnsi="Calibri" w:cs="Arial"/>
                <w:color w:val="000000"/>
                <w:sz w:val="22"/>
                <w:lang w:val="fr-CH"/>
              </w:rPr>
              <w:t>Bénéfice brut</w:t>
            </w:r>
          </w:p>
        </w:tc>
        <w:tc>
          <w:tcPr>
            <w:tcW w:w="992" w:type="dxa"/>
          </w:tcPr>
          <w:p w:rsidR="00410E5C" w:rsidRPr="00903F94" w:rsidRDefault="003B1D5D" w:rsidP="00571731">
            <w:pPr>
              <w:spacing w:after="0"/>
              <w:jc w:val="right"/>
              <w:rPr>
                <w:rFonts w:ascii="Calibri" w:hAnsi="Calibri" w:cs="Arial"/>
                <w:color w:val="000000"/>
                <w:sz w:val="22"/>
                <w:lang w:val="fr-CH"/>
              </w:rPr>
            </w:pPr>
            <w:r w:rsidRPr="00903F94">
              <w:rPr>
                <w:rFonts w:ascii="Calibri" w:hAnsi="Calibri" w:cs="Arial"/>
                <w:color w:val="000000"/>
                <w:sz w:val="22"/>
                <w:lang w:val="fr-CH"/>
              </w:rPr>
              <w:t>52</w:t>
            </w:r>
            <w:r w:rsidR="00571731">
              <w:rPr>
                <w:rFonts w:ascii="Calibri" w:hAnsi="Calibri" w:cs="Arial"/>
                <w:color w:val="000000"/>
                <w:sz w:val="22"/>
                <w:lang w:val="fr-CH"/>
              </w:rPr>
              <w:t>.</w:t>
            </w:r>
            <w:r w:rsidR="000F1C02" w:rsidRPr="00903F94">
              <w:rPr>
                <w:rFonts w:ascii="Calibri" w:hAnsi="Calibri" w:cs="Arial"/>
                <w:color w:val="000000"/>
                <w:sz w:val="22"/>
                <w:lang w:val="fr-CH"/>
              </w:rPr>
              <w:t>7</w:t>
            </w:r>
          </w:p>
        </w:tc>
        <w:tc>
          <w:tcPr>
            <w:tcW w:w="992" w:type="dxa"/>
          </w:tcPr>
          <w:p w:rsidR="00410E5C" w:rsidRPr="00903F94" w:rsidRDefault="003B1D5D" w:rsidP="00571731">
            <w:pPr>
              <w:spacing w:after="0"/>
              <w:jc w:val="right"/>
              <w:rPr>
                <w:rFonts w:ascii="Calibri" w:hAnsi="Calibri" w:cs="Arial"/>
                <w:color w:val="000000"/>
                <w:sz w:val="22"/>
                <w:lang w:val="fr-CH"/>
              </w:rPr>
            </w:pPr>
            <w:r w:rsidRPr="00903F94">
              <w:rPr>
                <w:rFonts w:ascii="Calibri" w:hAnsi="Calibri" w:cs="Arial"/>
                <w:color w:val="000000"/>
                <w:sz w:val="22"/>
                <w:lang w:val="fr-CH"/>
              </w:rPr>
              <w:t>40</w:t>
            </w:r>
            <w:r w:rsidR="00571731">
              <w:rPr>
                <w:rFonts w:ascii="Calibri" w:hAnsi="Calibri" w:cs="Arial"/>
                <w:color w:val="000000"/>
                <w:sz w:val="22"/>
                <w:lang w:val="fr-CH"/>
              </w:rPr>
              <w:t>.</w:t>
            </w:r>
            <w:r w:rsidR="00410E5C" w:rsidRPr="00903F94">
              <w:rPr>
                <w:rFonts w:ascii="Calibri" w:hAnsi="Calibri" w:cs="Arial"/>
                <w:color w:val="000000"/>
                <w:sz w:val="22"/>
                <w:lang w:val="fr-CH"/>
              </w:rPr>
              <w:t>3</w:t>
            </w:r>
          </w:p>
        </w:tc>
      </w:tr>
      <w:tr w:rsidR="00410E5C" w:rsidRPr="007F6317" w:rsidTr="00AF77B9">
        <w:tc>
          <w:tcPr>
            <w:tcW w:w="2268" w:type="dxa"/>
          </w:tcPr>
          <w:p w:rsidR="00410E5C" w:rsidRPr="00903F94" w:rsidRDefault="00AF77B9" w:rsidP="008129CF">
            <w:pPr>
              <w:spacing w:after="0"/>
              <w:rPr>
                <w:rFonts w:ascii="Calibri" w:hAnsi="Calibri" w:cs="Arial"/>
                <w:color w:val="000000"/>
                <w:sz w:val="22"/>
                <w:lang w:val="fr-CH"/>
              </w:rPr>
            </w:pPr>
            <w:r w:rsidRPr="00903F94">
              <w:rPr>
                <w:rFonts w:ascii="Calibri" w:hAnsi="Calibri" w:cs="Arial"/>
                <w:color w:val="000000"/>
                <w:sz w:val="22"/>
                <w:lang w:val="fr-CH"/>
              </w:rPr>
              <w:t>Résultat d’exploitation</w:t>
            </w:r>
          </w:p>
        </w:tc>
        <w:tc>
          <w:tcPr>
            <w:tcW w:w="992" w:type="dxa"/>
          </w:tcPr>
          <w:p w:rsidR="00410E5C" w:rsidRPr="00903F94" w:rsidRDefault="003B1D5D" w:rsidP="00571731">
            <w:pPr>
              <w:spacing w:after="0"/>
              <w:jc w:val="right"/>
              <w:rPr>
                <w:rFonts w:ascii="Calibri" w:hAnsi="Calibri" w:cs="Arial"/>
                <w:color w:val="000000"/>
                <w:sz w:val="22"/>
                <w:lang w:val="fr-CH"/>
              </w:rPr>
            </w:pPr>
            <w:r w:rsidRPr="00903F94">
              <w:rPr>
                <w:rFonts w:ascii="Calibri" w:hAnsi="Calibri" w:cs="Arial"/>
                <w:color w:val="000000"/>
                <w:sz w:val="22"/>
                <w:lang w:val="fr-CH"/>
              </w:rPr>
              <w:t>2</w:t>
            </w:r>
            <w:r w:rsidR="00571731">
              <w:rPr>
                <w:rFonts w:ascii="Calibri" w:hAnsi="Calibri" w:cs="Arial"/>
                <w:color w:val="000000"/>
                <w:sz w:val="22"/>
                <w:lang w:val="fr-CH"/>
              </w:rPr>
              <w:t>.</w:t>
            </w:r>
            <w:r w:rsidR="000F1C02" w:rsidRPr="00903F94">
              <w:rPr>
                <w:rFonts w:ascii="Calibri" w:hAnsi="Calibri" w:cs="Arial"/>
                <w:color w:val="000000"/>
                <w:sz w:val="22"/>
                <w:lang w:val="fr-CH"/>
              </w:rPr>
              <w:t>1</w:t>
            </w:r>
          </w:p>
        </w:tc>
        <w:tc>
          <w:tcPr>
            <w:tcW w:w="992" w:type="dxa"/>
          </w:tcPr>
          <w:p w:rsidR="00410E5C" w:rsidRPr="00903F94" w:rsidRDefault="003B1D5D" w:rsidP="00571731">
            <w:pPr>
              <w:spacing w:after="0"/>
              <w:jc w:val="right"/>
              <w:rPr>
                <w:rFonts w:ascii="Calibri" w:hAnsi="Calibri" w:cs="Arial"/>
                <w:color w:val="000000"/>
                <w:sz w:val="22"/>
                <w:lang w:val="fr-CH"/>
              </w:rPr>
            </w:pPr>
            <w:r w:rsidRPr="00903F94">
              <w:rPr>
                <w:rFonts w:ascii="Calibri" w:hAnsi="Calibri" w:cs="Arial"/>
                <w:color w:val="000000"/>
                <w:sz w:val="22"/>
                <w:lang w:val="fr-CH"/>
              </w:rPr>
              <w:t>–3</w:t>
            </w:r>
            <w:r w:rsidR="00571731">
              <w:rPr>
                <w:rFonts w:ascii="Calibri" w:hAnsi="Calibri" w:cs="Arial"/>
                <w:color w:val="000000"/>
                <w:sz w:val="22"/>
                <w:lang w:val="fr-CH"/>
              </w:rPr>
              <w:t>.</w:t>
            </w:r>
            <w:r w:rsidR="00410E5C" w:rsidRPr="00903F94">
              <w:rPr>
                <w:rFonts w:ascii="Calibri" w:hAnsi="Calibri" w:cs="Arial"/>
                <w:color w:val="000000"/>
                <w:sz w:val="22"/>
                <w:lang w:val="fr-CH"/>
              </w:rPr>
              <w:t>5</w:t>
            </w:r>
          </w:p>
        </w:tc>
      </w:tr>
      <w:tr w:rsidR="00410E5C" w:rsidRPr="007F6317" w:rsidTr="00AF77B9">
        <w:tc>
          <w:tcPr>
            <w:tcW w:w="2268" w:type="dxa"/>
          </w:tcPr>
          <w:p w:rsidR="00410E5C" w:rsidRPr="00903F94" w:rsidRDefault="00AF77B9" w:rsidP="00014400">
            <w:pPr>
              <w:spacing w:after="0"/>
              <w:rPr>
                <w:rFonts w:ascii="Calibri" w:hAnsi="Calibri" w:cs="Arial"/>
                <w:color w:val="000000"/>
                <w:sz w:val="22"/>
                <w:lang w:val="fr-CH"/>
              </w:rPr>
            </w:pPr>
            <w:r w:rsidRPr="00903F94">
              <w:rPr>
                <w:rFonts w:ascii="Calibri" w:hAnsi="Calibri" w:cs="Arial"/>
                <w:color w:val="000000"/>
                <w:sz w:val="22"/>
                <w:lang w:val="fr-CH"/>
              </w:rPr>
              <w:t>Résultat de l’exercice</w:t>
            </w:r>
          </w:p>
        </w:tc>
        <w:tc>
          <w:tcPr>
            <w:tcW w:w="992" w:type="dxa"/>
          </w:tcPr>
          <w:p w:rsidR="00410E5C" w:rsidRPr="00903F94" w:rsidRDefault="003B1D5D" w:rsidP="00571731">
            <w:pPr>
              <w:spacing w:after="0"/>
              <w:jc w:val="right"/>
              <w:rPr>
                <w:rFonts w:ascii="Calibri" w:hAnsi="Calibri" w:cs="Arial"/>
                <w:color w:val="000000"/>
                <w:sz w:val="22"/>
                <w:lang w:val="fr-CH"/>
              </w:rPr>
            </w:pPr>
            <w:r w:rsidRPr="00903F94">
              <w:rPr>
                <w:rFonts w:ascii="Calibri" w:hAnsi="Calibri" w:cs="Arial"/>
                <w:color w:val="000000"/>
                <w:sz w:val="22"/>
                <w:lang w:val="fr-CH"/>
              </w:rPr>
              <w:t>3</w:t>
            </w:r>
            <w:r w:rsidR="00571731">
              <w:rPr>
                <w:rFonts w:ascii="Calibri" w:hAnsi="Calibri" w:cs="Arial"/>
                <w:color w:val="000000"/>
                <w:sz w:val="22"/>
                <w:lang w:val="fr-CH"/>
              </w:rPr>
              <w:t>.</w:t>
            </w:r>
            <w:r w:rsidR="000F1C02" w:rsidRPr="00903F94">
              <w:rPr>
                <w:rFonts w:ascii="Calibri" w:hAnsi="Calibri" w:cs="Arial"/>
                <w:color w:val="000000"/>
                <w:sz w:val="22"/>
                <w:lang w:val="fr-CH"/>
              </w:rPr>
              <w:t>0</w:t>
            </w:r>
          </w:p>
        </w:tc>
        <w:tc>
          <w:tcPr>
            <w:tcW w:w="992" w:type="dxa"/>
          </w:tcPr>
          <w:p w:rsidR="00410E5C" w:rsidRPr="00903F94" w:rsidRDefault="003B1D5D" w:rsidP="00571731">
            <w:pPr>
              <w:spacing w:after="0"/>
              <w:jc w:val="right"/>
              <w:rPr>
                <w:rFonts w:ascii="Calibri" w:hAnsi="Calibri" w:cs="Arial"/>
                <w:color w:val="000000"/>
                <w:sz w:val="22"/>
                <w:lang w:val="fr-CH"/>
              </w:rPr>
            </w:pPr>
            <w:r w:rsidRPr="00903F94">
              <w:rPr>
                <w:rFonts w:ascii="Calibri" w:hAnsi="Calibri" w:cs="Arial"/>
                <w:color w:val="000000"/>
                <w:sz w:val="22"/>
                <w:lang w:val="fr-CH"/>
              </w:rPr>
              <w:t>0</w:t>
            </w:r>
            <w:r w:rsidR="00571731">
              <w:rPr>
                <w:rFonts w:ascii="Calibri" w:hAnsi="Calibri" w:cs="Arial"/>
                <w:color w:val="000000"/>
                <w:sz w:val="22"/>
                <w:lang w:val="fr-CH"/>
              </w:rPr>
              <w:t>.</w:t>
            </w:r>
            <w:r w:rsidR="00410E5C" w:rsidRPr="00903F94">
              <w:rPr>
                <w:rFonts w:ascii="Calibri" w:hAnsi="Calibri" w:cs="Arial"/>
                <w:color w:val="000000"/>
                <w:sz w:val="22"/>
                <w:lang w:val="fr-CH"/>
              </w:rPr>
              <w:t>1</w:t>
            </w:r>
          </w:p>
        </w:tc>
      </w:tr>
    </w:tbl>
    <w:p w:rsidR="005E30B3" w:rsidRPr="00903F94" w:rsidRDefault="005E30B3" w:rsidP="00D86830">
      <w:pPr>
        <w:spacing w:after="0" w:line="240" w:lineRule="auto"/>
        <w:rPr>
          <w:rFonts w:ascii="Calibri" w:hAnsi="Calibri" w:cs="Arial"/>
          <w:b/>
          <w:sz w:val="22"/>
          <w:lang w:val="fr-CH" w:eastAsia="de-CH"/>
        </w:rPr>
      </w:pPr>
    </w:p>
    <w:p w:rsidR="00CE78C9" w:rsidRPr="00903F94" w:rsidRDefault="00CE78C9" w:rsidP="00D86830">
      <w:pPr>
        <w:spacing w:after="0" w:line="240" w:lineRule="auto"/>
        <w:rPr>
          <w:rFonts w:ascii="Calibri" w:hAnsi="Calibri" w:cs="Arial"/>
          <w:b/>
          <w:sz w:val="22"/>
          <w:lang w:val="fr-CH" w:eastAsia="de-CH"/>
        </w:rPr>
      </w:pPr>
    </w:p>
    <w:p w:rsidR="005E30B3" w:rsidRPr="00903F94" w:rsidRDefault="005B4707" w:rsidP="00D86830">
      <w:pPr>
        <w:spacing w:after="0" w:line="240" w:lineRule="auto"/>
        <w:rPr>
          <w:rFonts w:ascii="Calibri" w:hAnsi="Calibri" w:cs="Arial"/>
          <w:sz w:val="22"/>
          <w:lang w:val="fr-CH" w:eastAsia="de-CH"/>
        </w:rPr>
      </w:pPr>
      <w:r w:rsidRPr="00903F94">
        <w:rPr>
          <w:rFonts w:ascii="Calibri" w:hAnsi="Calibri" w:cs="Arial"/>
          <w:b/>
          <w:sz w:val="22"/>
          <w:lang w:val="fr-CH" w:eastAsia="de-CH"/>
        </w:rPr>
        <w:t>Pour tout complément d’information</w:t>
      </w:r>
      <w:r w:rsidR="00AF77B9" w:rsidRPr="007F6317">
        <w:rPr>
          <w:rFonts w:ascii="Calibri" w:hAnsi="Calibri"/>
          <w:lang w:val="fr-CH"/>
        </w:rPr>
        <w:t> </w:t>
      </w:r>
      <w:proofErr w:type="gramStart"/>
      <w:r w:rsidR="008934C7" w:rsidRPr="00903F94">
        <w:rPr>
          <w:rFonts w:ascii="Calibri" w:hAnsi="Calibri" w:cs="Arial"/>
          <w:b/>
          <w:sz w:val="22"/>
          <w:lang w:val="fr-CH" w:eastAsia="de-CH"/>
        </w:rPr>
        <w:t>:</w:t>
      </w:r>
      <w:proofErr w:type="gramEnd"/>
      <w:r w:rsidR="005E30B3" w:rsidRPr="00903F94">
        <w:rPr>
          <w:rFonts w:ascii="Calibri" w:hAnsi="Calibri" w:cs="Arial"/>
          <w:b/>
          <w:sz w:val="22"/>
          <w:lang w:val="fr-CH" w:eastAsia="de-CH"/>
        </w:rPr>
        <w:br/>
      </w:r>
      <w:r w:rsidR="005E30B3" w:rsidRPr="00903F94">
        <w:rPr>
          <w:rFonts w:ascii="Calibri" w:hAnsi="Calibri" w:cs="Arial"/>
          <w:sz w:val="22"/>
          <w:lang w:val="fr-CH" w:eastAsia="de-CH"/>
        </w:rPr>
        <w:t xml:space="preserve">Roger Seifritz, </w:t>
      </w:r>
      <w:r w:rsidR="00AF77B9" w:rsidRPr="00903F94">
        <w:rPr>
          <w:rFonts w:ascii="Calibri" w:hAnsi="Calibri" w:cs="Arial"/>
          <w:sz w:val="22"/>
          <w:lang w:val="fr-CH" w:eastAsia="de-CH"/>
        </w:rPr>
        <w:t>directeur</w:t>
      </w:r>
      <w:r w:rsidR="005E30B3" w:rsidRPr="00903F94">
        <w:rPr>
          <w:rFonts w:ascii="Calibri" w:hAnsi="Calibri" w:cs="Arial"/>
          <w:sz w:val="22"/>
          <w:lang w:val="fr-CH" w:eastAsia="de-CH"/>
        </w:rPr>
        <w:t xml:space="preserve">, </w:t>
      </w:r>
      <w:r w:rsidR="00AF77B9" w:rsidRPr="00903F94">
        <w:rPr>
          <w:rFonts w:ascii="Calibri" w:hAnsi="Calibri" w:cs="Arial"/>
          <w:sz w:val="22"/>
          <w:lang w:val="fr-CH" w:eastAsia="de-CH"/>
        </w:rPr>
        <w:t>tél</w:t>
      </w:r>
      <w:r w:rsidR="005E30B3" w:rsidRPr="00903F94">
        <w:rPr>
          <w:rFonts w:ascii="Calibri" w:hAnsi="Calibri" w:cs="Arial"/>
          <w:sz w:val="22"/>
          <w:lang w:val="fr-CH" w:eastAsia="de-CH"/>
        </w:rPr>
        <w:t>. 031 329 6</w:t>
      </w:r>
      <w:r w:rsidR="008934C7" w:rsidRPr="00903F94">
        <w:rPr>
          <w:rFonts w:ascii="Calibri" w:hAnsi="Calibri" w:cs="Arial"/>
          <w:sz w:val="22"/>
          <w:lang w:val="fr-CH" w:eastAsia="de-CH"/>
        </w:rPr>
        <w:t>7</w:t>
      </w:r>
      <w:r w:rsidR="005E30B3" w:rsidRPr="00903F94">
        <w:rPr>
          <w:rFonts w:ascii="Calibri" w:hAnsi="Calibri" w:cs="Arial"/>
          <w:sz w:val="22"/>
          <w:lang w:val="fr-CH" w:eastAsia="de-CH"/>
        </w:rPr>
        <w:t xml:space="preserve"> </w:t>
      </w:r>
      <w:r w:rsidR="008934C7" w:rsidRPr="00903F94">
        <w:rPr>
          <w:rFonts w:ascii="Calibri" w:hAnsi="Calibri" w:cs="Arial"/>
          <w:sz w:val="22"/>
          <w:lang w:val="fr-CH" w:eastAsia="de-CH"/>
        </w:rPr>
        <w:t>67</w:t>
      </w:r>
    </w:p>
    <w:p w:rsidR="00041C26" w:rsidRPr="00903F94" w:rsidRDefault="00041C26" w:rsidP="00226498">
      <w:pPr>
        <w:autoSpaceDE w:val="0"/>
        <w:autoSpaceDN w:val="0"/>
        <w:adjustRightInd w:val="0"/>
        <w:spacing w:after="0" w:line="240" w:lineRule="auto"/>
        <w:rPr>
          <w:rFonts w:ascii="Calibri" w:hAnsi="Calibri" w:cs="Calibri"/>
          <w:bCs/>
          <w:sz w:val="22"/>
          <w:lang w:val="fr-CH" w:eastAsia="de-CH"/>
        </w:rPr>
      </w:pPr>
    </w:p>
    <w:p w:rsidR="007F6317" w:rsidRDefault="00AF77B9" w:rsidP="00226498">
      <w:pPr>
        <w:autoSpaceDE w:val="0"/>
        <w:autoSpaceDN w:val="0"/>
        <w:adjustRightInd w:val="0"/>
        <w:spacing w:after="0" w:line="240" w:lineRule="auto"/>
        <w:rPr>
          <w:rFonts w:ascii="Calibri" w:hAnsi="Calibri" w:cs="Calibri"/>
          <w:bCs/>
          <w:sz w:val="22"/>
          <w:lang w:val="fr-CH" w:eastAsia="de-CH"/>
        </w:rPr>
      </w:pPr>
      <w:r w:rsidRPr="00903F94">
        <w:rPr>
          <w:rFonts w:ascii="Calibri" w:hAnsi="Calibri" w:cs="Calibri"/>
          <w:bCs/>
          <w:sz w:val="22"/>
          <w:lang w:val="fr-CH" w:eastAsia="de-CH"/>
        </w:rPr>
        <w:t>Communiqué de presse et illustrations à télécharger </w:t>
      </w:r>
      <w:r w:rsidR="005E30B3" w:rsidRPr="00903F94">
        <w:rPr>
          <w:rFonts w:ascii="Calibri" w:hAnsi="Calibri" w:cs="Calibri"/>
          <w:bCs/>
          <w:sz w:val="22"/>
          <w:lang w:val="fr-CH" w:eastAsia="de-CH"/>
        </w:rPr>
        <w:t>: reka.ch/medi</w:t>
      </w:r>
      <w:r w:rsidR="007F6317">
        <w:rPr>
          <w:rFonts w:ascii="Calibri" w:hAnsi="Calibri" w:cs="Calibri"/>
          <w:bCs/>
          <w:sz w:val="22"/>
          <w:lang w:val="fr-CH" w:eastAsia="de-CH"/>
        </w:rPr>
        <w:t>as</w:t>
      </w:r>
    </w:p>
    <w:p w:rsidR="008B5E3D" w:rsidRPr="00903F94" w:rsidRDefault="00AF77B9" w:rsidP="00226498">
      <w:pPr>
        <w:autoSpaceDE w:val="0"/>
        <w:autoSpaceDN w:val="0"/>
        <w:adjustRightInd w:val="0"/>
        <w:spacing w:after="0" w:line="240" w:lineRule="auto"/>
        <w:rPr>
          <w:rFonts w:ascii="Calibri" w:hAnsi="Calibri"/>
          <w:lang w:val="fr-CH"/>
        </w:rPr>
      </w:pPr>
      <w:r w:rsidRPr="00903F94">
        <w:rPr>
          <w:rFonts w:ascii="Calibri" w:hAnsi="Calibri" w:cs="Calibri"/>
          <w:bCs/>
          <w:sz w:val="22"/>
          <w:lang w:val="fr-CH" w:eastAsia="de-CH"/>
        </w:rPr>
        <w:t xml:space="preserve">Rapport annuel </w:t>
      </w:r>
      <w:r w:rsidR="00041C26" w:rsidRPr="00903F94">
        <w:rPr>
          <w:rFonts w:ascii="Calibri" w:hAnsi="Calibri" w:cs="Calibri"/>
          <w:bCs/>
          <w:sz w:val="22"/>
          <w:lang w:val="fr-CH" w:eastAsia="de-CH"/>
        </w:rPr>
        <w:t>201</w:t>
      </w:r>
      <w:r w:rsidR="000F1C02" w:rsidRPr="00903F94">
        <w:rPr>
          <w:rFonts w:ascii="Calibri" w:hAnsi="Calibri" w:cs="Calibri"/>
          <w:bCs/>
          <w:sz w:val="22"/>
          <w:lang w:val="fr-CH" w:eastAsia="de-CH"/>
        </w:rPr>
        <w:t>7</w:t>
      </w:r>
      <w:r w:rsidRPr="00903F94">
        <w:rPr>
          <w:rFonts w:ascii="Calibri" w:hAnsi="Calibri" w:cs="Calibri"/>
          <w:bCs/>
          <w:sz w:val="22"/>
          <w:lang w:val="fr-CH" w:eastAsia="de-CH"/>
        </w:rPr>
        <w:t xml:space="preserve"> à télécharger </w:t>
      </w:r>
      <w:r w:rsidR="008B5E3D" w:rsidRPr="00903F94">
        <w:rPr>
          <w:rFonts w:ascii="Calibri" w:hAnsi="Calibri" w:cs="Calibri"/>
          <w:bCs/>
          <w:sz w:val="22"/>
          <w:lang w:val="fr-CH" w:eastAsia="de-CH"/>
        </w:rPr>
        <w:t>: reka.ch/</w:t>
      </w:r>
      <w:proofErr w:type="spellStart"/>
      <w:r w:rsidR="007F6317">
        <w:rPr>
          <w:rFonts w:ascii="Calibri" w:hAnsi="Calibri" w:cs="Calibri"/>
          <w:bCs/>
          <w:sz w:val="22"/>
          <w:lang w:val="fr-CH" w:eastAsia="de-CH"/>
        </w:rPr>
        <w:t>rapport</w:t>
      </w:r>
      <w:r w:rsidR="006B2BC9">
        <w:rPr>
          <w:rFonts w:ascii="Calibri" w:hAnsi="Calibri" w:cs="Calibri"/>
          <w:bCs/>
          <w:sz w:val="22"/>
          <w:lang w:val="fr-CH" w:eastAsia="de-CH"/>
        </w:rPr>
        <w:t>s</w:t>
      </w:r>
      <w:r w:rsidR="007F6317">
        <w:rPr>
          <w:rFonts w:ascii="Calibri" w:hAnsi="Calibri" w:cs="Calibri"/>
          <w:bCs/>
          <w:sz w:val="22"/>
          <w:lang w:val="fr-CH" w:eastAsia="de-CH"/>
        </w:rPr>
        <w:t>degestion</w:t>
      </w:r>
      <w:bookmarkStart w:id="0" w:name="_GoBack"/>
      <w:bookmarkEnd w:id="0"/>
      <w:proofErr w:type="spellEnd"/>
    </w:p>
    <w:sectPr w:rsidR="008B5E3D" w:rsidRPr="00903F94" w:rsidSect="00226498">
      <w:headerReference w:type="default" r:id="rId9"/>
      <w:footerReference w:type="default" r:id="rId10"/>
      <w:headerReference w:type="first" r:id="rId11"/>
      <w:footerReference w:type="first" r:id="rId12"/>
      <w:pgSz w:w="11906" w:h="16838" w:code="9"/>
      <w:pgMar w:top="1560" w:right="1134" w:bottom="567" w:left="1304" w:header="709" w:footer="1276"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85" w:rsidRDefault="001F1985" w:rsidP="003439F1">
      <w:r>
        <w:separator/>
      </w:r>
    </w:p>
  </w:endnote>
  <w:endnote w:type="continuationSeparator" w:id="0">
    <w:p w:rsidR="001F1985" w:rsidRDefault="001F1985" w:rsidP="0034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B3" w:rsidRDefault="00DE6D5B">
    <w:pPr>
      <w:pStyle w:val="Fuzeile"/>
    </w:pPr>
    <w:r>
      <w:rPr>
        <w:noProof/>
      </w:rPr>
      <w:drawing>
        <wp:anchor distT="0" distB="0" distL="114300" distR="114300" simplePos="0" relativeHeight="251658240" behindDoc="0" locked="0" layoutInCell="1" allowOverlap="1" wp14:anchorId="29C45AF1" wp14:editId="6CE19921">
          <wp:simplePos x="0" y="0"/>
          <wp:positionH relativeFrom="column">
            <wp:posOffset>-528955</wp:posOffset>
          </wp:positionH>
          <wp:positionV relativeFrom="paragraph">
            <wp:posOffset>615315</wp:posOffset>
          </wp:positionV>
          <wp:extent cx="7225030" cy="154940"/>
          <wp:effectExtent l="0" t="0" r="0" b="0"/>
          <wp:wrapNone/>
          <wp:docPr id="2" name="Bild 2" descr="Balken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_rgb_fuer_A4"/>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7225030" cy="15494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B3" w:rsidRDefault="00DE6D5B" w:rsidP="00C77A30">
    <w:pPr>
      <w:pStyle w:val="Fuzeile"/>
      <w:tabs>
        <w:tab w:val="clear" w:pos="9072"/>
      </w:tabs>
    </w:pPr>
    <w:r>
      <w:rPr>
        <w:noProof/>
      </w:rPr>
      <w:drawing>
        <wp:anchor distT="0" distB="0" distL="114300" distR="114300" simplePos="0" relativeHeight="251657216" behindDoc="0" locked="0" layoutInCell="1" allowOverlap="1" wp14:anchorId="44AA8E6C" wp14:editId="5E26B028">
          <wp:simplePos x="0" y="0"/>
          <wp:positionH relativeFrom="column">
            <wp:posOffset>-478790</wp:posOffset>
          </wp:positionH>
          <wp:positionV relativeFrom="paragraph">
            <wp:posOffset>629285</wp:posOffset>
          </wp:positionV>
          <wp:extent cx="6877050" cy="152400"/>
          <wp:effectExtent l="0" t="0" r="0" b="0"/>
          <wp:wrapNone/>
          <wp:docPr id="4" name="Bild 3" descr="Balken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lken_rgb_fuer_A4"/>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6877050" cy="152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85" w:rsidRDefault="001F1985" w:rsidP="003439F1">
      <w:r>
        <w:separator/>
      </w:r>
    </w:p>
  </w:footnote>
  <w:footnote w:type="continuationSeparator" w:id="0">
    <w:p w:rsidR="001F1985" w:rsidRDefault="001F1985" w:rsidP="0034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B3" w:rsidRDefault="00DE6D5B" w:rsidP="00E23559">
    <w:pPr>
      <w:pStyle w:val="Kopfzeile"/>
      <w:tabs>
        <w:tab w:val="clear" w:pos="4536"/>
        <w:tab w:val="clear" w:pos="9072"/>
      </w:tabs>
      <w:jc w:val="right"/>
    </w:pPr>
    <w:r>
      <w:rPr>
        <w:noProof/>
      </w:rPr>
      <w:drawing>
        <wp:anchor distT="0" distB="0" distL="114300" distR="114300" simplePos="0" relativeHeight="251659264" behindDoc="0" locked="0" layoutInCell="1" allowOverlap="1" wp14:anchorId="7AEDCF65" wp14:editId="103A5B11">
          <wp:simplePos x="0" y="0"/>
          <wp:positionH relativeFrom="column">
            <wp:posOffset>4806950</wp:posOffset>
          </wp:positionH>
          <wp:positionV relativeFrom="paragraph">
            <wp:posOffset>-133350</wp:posOffset>
          </wp:positionV>
          <wp:extent cx="1440815" cy="307340"/>
          <wp:effectExtent l="0" t="0" r="6985" b="0"/>
          <wp:wrapNone/>
          <wp:docPr id="1" name="Bild 1" descr="Logo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rgb_fuer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0734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B3" w:rsidRDefault="00DE6D5B" w:rsidP="00E23559">
    <w:pPr>
      <w:pStyle w:val="Kopfzeile"/>
    </w:pPr>
    <w:r>
      <w:rPr>
        <w:noProof/>
      </w:rPr>
      <w:drawing>
        <wp:anchor distT="0" distB="0" distL="114300" distR="114300" simplePos="0" relativeHeight="251656192" behindDoc="0" locked="0" layoutInCell="1" allowOverlap="1" wp14:anchorId="25BC6F11" wp14:editId="48FD9E31">
          <wp:simplePos x="0" y="0"/>
          <wp:positionH relativeFrom="column">
            <wp:posOffset>4808220</wp:posOffset>
          </wp:positionH>
          <wp:positionV relativeFrom="paragraph">
            <wp:posOffset>-148590</wp:posOffset>
          </wp:positionV>
          <wp:extent cx="1440815" cy="307340"/>
          <wp:effectExtent l="0" t="0" r="6985" b="0"/>
          <wp:wrapNone/>
          <wp:docPr id="3" name="Bild 4" descr="Logo_rgb_fu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rgb_fuer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073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7062"/>
    <w:multiLevelType w:val="hybridMultilevel"/>
    <w:tmpl w:val="412ED6F4"/>
    <w:lvl w:ilvl="0" w:tplc="08070001">
      <w:start w:val="1"/>
      <w:numFmt w:val="bullet"/>
      <w:lvlText w:val=""/>
      <w:lvlJc w:val="left"/>
      <w:pPr>
        <w:tabs>
          <w:tab w:val="num" w:pos="2700"/>
        </w:tabs>
        <w:ind w:left="2700" w:hanging="360"/>
      </w:pPr>
      <w:rPr>
        <w:rFonts w:ascii="Symbol" w:hAnsi="Symbol" w:hint="default"/>
      </w:rPr>
    </w:lvl>
    <w:lvl w:ilvl="1" w:tplc="08070003" w:tentative="1">
      <w:start w:val="1"/>
      <w:numFmt w:val="bullet"/>
      <w:lvlText w:val="o"/>
      <w:lvlJc w:val="left"/>
      <w:pPr>
        <w:tabs>
          <w:tab w:val="num" w:pos="3420"/>
        </w:tabs>
        <w:ind w:left="3420" w:hanging="360"/>
      </w:pPr>
      <w:rPr>
        <w:rFonts w:ascii="Courier New" w:hAnsi="Courier New" w:hint="default"/>
      </w:rPr>
    </w:lvl>
    <w:lvl w:ilvl="2" w:tplc="08070005" w:tentative="1">
      <w:start w:val="1"/>
      <w:numFmt w:val="bullet"/>
      <w:lvlText w:val=""/>
      <w:lvlJc w:val="left"/>
      <w:pPr>
        <w:tabs>
          <w:tab w:val="num" w:pos="4140"/>
        </w:tabs>
        <w:ind w:left="4140" w:hanging="360"/>
      </w:pPr>
      <w:rPr>
        <w:rFonts w:ascii="Wingdings" w:hAnsi="Wingdings" w:hint="default"/>
      </w:rPr>
    </w:lvl>
    <w:lvl w:ilvl="3" w:tplc="08070001" w:tentative="1">
      <w:start w:val="1"/>
      <w:numFmt w:val="bullet"/>
      <w:lvlText w:val=""/>
      <w:lvlJc w:val="left"/>
      <w:pPr>
        <w:tabs>
          <w:tab w:val="num" w:pos="4860"/>
        </w:tabs>
        <w:ind w:left="4860" w:hanging="360"/>
      </w:pPr>
      <w:rPr>
        <w:rFonts w:ascii="Symbol" w:hAnsi="Symbol" w:hint="default"/>
      </w:rPr>
    </w:lvl>
    <w:lvl w:ilvl="4" w:tplc="08070003" w:tentative="1">
      <w:start w:val="1"/>
      <w:numFmt w:val="bullet"/>
      <w:lvlText w:val="o"/>
      <w:lvlJc w:val="left"/>
      <w:pPr>
        <w:tabs>
          <w:tab w:val="num" w:pos="5580"/>
        </w:tabs>
        <w:ind w:left="5580" w:hanging="360"/>
      </w:pPr>
      <w:rPr>
        <w:rFonts w:ascii="Courier New" w:hAnsi="Courier New" w:hint="default"/>
      </w:rPr>
    </w:lvl>
    <w:lvl w:ilvl="5" w:tplc="08070005" w:tentative="1">
      <w:start w:val="1"/>
      <w:numFmt w:val="bullet"/>
      <w:lvlText w:val=""/>
      <w:lvlJc w:val="left"/>
      <w:pPr>
        <w:tabs>
          <w:tab w:val="num" w:pos="6300"/>
        </w:tabs>
        <w:ind w:left="6300" w:hanging="360"/>
      </w:pPr>
      <w:rPr>
        <w:rFonts w:ascii="Wingdings" w:hAnsi="Wingdings" w:hint="default"/>
      </w:rPr>
    </w:lvl>
    <w:lvl w:ilvl="6" w:tplc="08070001" w:tentative="1">
      <w:start w:val="1"/>
      <w:numFmt w:val="bullet"/>
      <w:lvlText w:val=""/>
      <w:lvlJc w:val="left"/>
      <w:pPr>
        <w:tabs>
          <w:tab w:val="num" w:pos="7020"/>
        </w:tabs>
        <w:ind w:left="7020" w:hanging="360"/>
      </w:pPr>
      <w:rPr>
        <w:rFonts w:ascii="Symbol" w:hAnsi="Symbol" w:hint="default"/>
      </w:rPr>
    </w:lvl>
    <w:lvl w:ilvl="7" w:tplc="08070003" w:tentative="1">
      <w:start w:val="1"/>
      <w:numFmt w:val="bullet"/>
      <w:lvlText w:val="o"/>
      <w:lvlJc w:val="left"/>
      <w:pPr>
        <w:tabs>
          <w:tab w:val="num" w:pos="7740"/>
        </w:tabs>
        <w:ind w:left="7740" w:hanging="360"/>
      </w:pPr>
      <w:rPr>
        <w:rFonts w:ascii="Courier New" w:hAnsi="Courier New" w:hint="default"/>
      </w:rPr>
    </w:lvl>
    <w:lvl w:ilvl="8" w:tplc="08070005" w:tentative="1">
      <w:start w:val="1"/>
      <w:numFmt w:val="bullet"/>
      <w:lvlText w:val=""/>
      <w:lvlJc w:val="left"/>
      <w:pPr>
        <w:tabs>
          <w:tab w:val="num" w:pos="8460"/>
        </w:tabs>
        <w:ind w:left="8460" w:hanging="360"/>
      </w:pPr>
      <w:rPr>
        <w:rFonts w:ascii="Wingdings" w:hAnsi="Wingdings" w:hint="default"/>
      </w:rPr>
    </w:lvl>
  </w:abstractNum>
  <w:abstractNum w:abstractNumId="1">
    <w:nsid w:val="2B1E6B70"/>
    <w:multiLevelType w:val="hybridMultilevel"/>
    <w:tmpl w:val="E8CC7AC6"/>
    <w:lvl w:ilvl="0" w:tplc="0407000B">
      <w:start w:val="1"/>
      <w:numFmt w:val="bullet"/>
      <w:lvlText w:val=""/>
      <w:lvlJc w:val="left"/>
      <w:pPr>
        <w:tabs>
          <w:tab w:val="num" w:pos="2877"/>
        </w:tabs>
        <w:ind w:left="2877" w:hanging="360"/>
      </w:pPr>
      <w:rPr>
        <w:rFonts w:ascii="Wingdings" w:hAnsi="Wingdings" w:hint="default"/>
      </w:rPr>
    </w:lvl>
    <w:lvl w:ilvl="1" w:tplc="04070003">
      <w:start w:val="1"/>
      <w:numFmt w:val="bullet"/>
      <w:lvlText w:val="o"/>
      <w:lvlJc w:val="left"/>
      <w:pPr>
        <w:tabs>
          <w:tab w:val="num" w:pos="3597"/>
        </w:tabs>
        <w:ind w:left="3597" w:hanging="360"/>
      </w:pPr>
      <w:rPr>
        <w:rFonts w:ascii="Courier New" w:hAnsi="Courier New" w:hint="default"/>
      </w:rPr>
    </w:lvl>
    <w:lvl w:ilvl="2" w:tplc="04070005" w:tentative="1">
      <w:start w:val="1"/>
      <w:numFmt w:val="bullet"/>
      <w:lvlText w:val=""/>
      <w:lvlJc w:val="left"/>
      <w:pPr>
        <w:tabs>
          <w:tab w:val="num" w:pos="4317"/>
        </w:tabs>
        <w:ind w:left="4317" w:hanging="360"/>
      </w:pPr>
      <w:rPr>
        <w:rFonts w:ascii="Wingdings" w:hAnsi="Wingdings" w:hint="default"/>
      </w:rPr>
    </w:lvl>
    <w:lvl w:ilvl="3" w:tplc="04070001" w:tentative="1">
      <w:start w:val="1"/>
      <w:numFmt w:val="bullet"/>
      <w:lvlText w:val=""/>
      <w:lvlJc w:val="left"/>
      <w:pPr>
        <w:tabs>
          <w:tab w:val="num" w:pos="5037"/>
        </w:tabs>
        <w:ind w:left="5037" w:hanging="360"/>
      </w:pPr>
      <w:rPr>
        <w:rFonts w:ascii="Symbol" w:hAnsi="Symbol" w:hint="default"/>
      </w:rPr>
    </w:lvl>
    <w:lvl w:ilvl="4" w:tplc="04070003" w:tentative="1">
      <w:start w:val="1"/>
      <w:numFmt w:val="bullet"/>
      <w:lvlText w:val="o"/>
      <w:lvlJc w:val="left"/>
      <w:pPr>
        <w:tabs>
          <w:tab w:val="num" w:pos="5757"/>
        </w:tabs>
        <w:ind w:left="5757" w:hanging="360"/>
      </w:pPr>
      <w:rPr>
        <w:rFonts w:ascii="Courier New" w:hAnsi="Courier New" w:hint="default"/>
      </w:rPr>
    </w:lvl>
    <w:lvl w:ilvl="5" w:tplc="04070005" w:tentative="1">
      <w:start w:val="1"/>
      <w:numFmt w:val="bullet"/>
      <w:lvlText w:val=""/>
      <w:lvlJc w:val="left"/>
      <w:pPr>
        <w:tabs>
          <w:tab w:val="num" w:pos="6477"/>
        </w:tabs>
        <w:ind w:left="6477" w:hanging="360"/>
      </w:pPr>
      <w:rPr>
        <w:rFonts w:ascii="Wingdings" w:hAnsi="Wingdings" w:hint="default"/>
      </w:rPr>
    </w:lvl>
    <w:lvl w:ilvl="6" w:tplc="04070001" w:tentative="1">
      <w:start w:val="1"/>
      <w:numFmt w:val="bullet"/>
      <w:lvlText w:val=""/>
      <w:lvlJc w:val="left"/>
      <w:pPr>
        <w:tabs>
          <w:tab w:val="num" w:pos="7197"/>
        </w:tabs>
        <w:ind w:left="7197" w:hanging="360"/>
      </w:pPr>
      <w:rPr>
        <w:rFonts w:ascii="Symbol" w:hAnsi="Symbol" w:hint="default"/>
      </w:rPr>
    </w:lvl>
    <w:lvl w:ilvl="7" w:tplc="04070003" w:tentative="1">
      <w:start w:val="1"/>
      <w:numFmt w:val="bullet"/>
      <w:lvlText w:val="o"/>
      <w:lvlJc w:val="left"/>
      <w:pPr>
        <w:tabs>
          <w:tab w:val="num" w:pos="7917"/>
        </w:tabs>
        <w:ind w:left="7917" w:hanging="360"/>
      </w:pPr>
      <w:rPr>
        <w:rFonts w:ascii="Courier New" w:hAnsi="Courier New" w:hint="default"/>
      </w:rPr>
    </w:lvl>
    <w:lvl w:ilvl="8" w:tplc="04070005" w:tentative="1">
      <w:start w:val="1"/>
      <w:numFmt w:val="bullet"/>
      <w:lvlText w:val=""/>
      <w:lvlJc w:val="left"/>
      <w:pPr>
        <w:tabs>
          <w:tab w:val="num" w:pos="8637"/>
        </w:tabs>
        <w:ind w:left="8637" w:hanging="360"/>
      </w:pPr>
      <w:rPr>
        <w:rFonts w:ascii="Wingdings" w:hAnsi="Wingdings" w:hint="default"/>
      </w:rPr>
    </w:lvl>
  </w:abstractNum>
  <w:abstractNum w:abstractNumId="2">
    <w:nsid w:val="42226091"/>
    <w:multiLevelType w:val="hybridMultilevel"/>
    <w:tmpl w:val="BA4C8B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B481124"/>
    <w:multiLevelType w:val="hybridMultilevel"/>
    <w:tmpl w:val="A7F291C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Hasler">
    <w15:presenceInfo w15:providerId="Windows Live" w15:userId="3c59fdf21de28b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30"/>
    <w:rsid w:val="00004B74"/>
    <w:rsid w:val="00005FA7"/>
    <w:rsid w:val="000103A5"/>
    <w:rsid w:val="000115AC"/>
    <w:rsid w:val="00012171"/>
    <w:rsid w:val="00012514"/>
    <w:rsid w:val="00014400"/>
    <w:rsid w:val="00030B3D"/>
    <w:rsid w:val="00033B24"/>
    <w:rsid w:val="000351A8"/>
    <w:rsid w:val="0003734C"/>
    <w:rsid w:val="000409ED"/>
    <w:rsid w:val="00041C26"/>
    <w:rsid w:val="00041E34"/>
    <w:rsid w:val="0005725F"/>
    <w:rsid w:val="00066937"/>
    <w:rsid w:val="0007731F"/>
    <w:rsid w:val="00083C86"/>
    <w:rsid w:val="00084C7F"/>
    <w:rsid w:val="000959C0"/>
    <w:rsid w:val="00097C7E"/>
    <w:rsid w:val="000A37E3"/>
    <w:rsid w:val="000A68CD"/>
    <w:rsid w:val="000B4808"/>
    <w:rsid w:val="000B6620"/>
    <w:rsid w:val="000D057C"/>
    <w:rsid w:val="000E16E8"/>
    <w:rsid w:val="000E36DC"/>
    <w:rsid w:val="000F1581"/>
    <w:rsid w:val="000F1C02"/>
    <w:rsid w:val="00132FAC"/>
    <w:rsid w:val="0014084B"/>
    <w:rsid w:val="001657B1"/>
    <w:rsid w:val="00180848"/>
    <w:rsid w:val="00194CC5"/>
    <w:rsid w:val="001A2E80"/>
    <w:rsid w:val="001C2BF5"/>
    <w:rsid w:val="001D7E9E"/>
    <w:rsid w:val="001E0BFE"/>
    <w:rsid w:val="001E132D"/>
    <w:rsid w:val="001F1985"/>
    <w:rsid w:val="001F5935"/>
    <w:rsid w:val="002075F2"/>
    <w:rsid w:val="00210BB9"/>
    <w:rsid w:val="002137C9"/>
    <w:rsid w:val="002141F0"/>
    <w:rsid w:val="002215AD"/>
    <w:rsid w:val="00226498"/>
    <w:rsid w:val="00235E15"/>
    <w:rsid w:val="002426B0"/>
    <w:rsid w:val="002435A2"/>
    <w:rsid w:val="00250F85"/>
    <w:rsid w:val="002605FF"/>
    <w:rsid w:val="00270E9C"/>
    <w:rsid w:val="00277A22"/>
    <w:rsid w:val="00277EB4"/>
    <w:rsid w:val="00280715"/>
    <w:rsid w:val="00283245"/>
    <w:rsid w:val="002840A1"/>
    <w:rsid w:val="0028620E"/>
    <w:rsid w:val="002A0860"/>
    <w:rsid w:val="002C0F54"/>
    <w:rsid w:val="002C1E12"/>
    <w:rsid w:val="002C2842"/>
    <w:rsid w:val="002E0158"/>
    <w:rsid w:val="002E29FC"/>
    <w:rsid w:val="002E49F5"/>
    <w:rsid w:val="002E726E"/>
    <w:rsid w:val="002F2B3A"/>
    <w:rsid w:val="00300356"/>
    <w:rsid w:val="00306E6A"/>
    <w:rsid w:val="00330E54"/>
    <w:rsid w:val="003335F0"/>
    <w:rsid w:val="003439F1"/>
    <w:rsid w:val="00362372"/>
    <w:rsid w:val="00362565"/>
    <w:rsid w:val="00374BD8"/>
    <w:rsid w:val="00386883"/>
    <w:rsid w:val="003975E4"/>
    <w:rsid w:val="003B1D5D"/>
    <w:rsid w:val="003B575D"/>
    <w:rsid w:val="003B5F9A"/>
    <w:rsid w:val="003C5831"/>
    <w:rsid w:val="003C69FE"/>
    <w:rsid w:val="003D1DFD"/>
    <w:rsid w:val="003D269A"/>
    <w:rsid w:val="003D5DBB"/>
    <w:rsid w:val="003E14E3"/>
    <w:rsid w:val="003E3FD6"/>
    <w:rsid w:val="003E78F2"/>
    <w:rsid w:val="00410E5C"/>
    <w:rsid w:val="004246AB"/>
    <w:rsid w:val="00434874"/>
    <w:rsid w:val="00440579"/>
    <w:rsid w:val="004415C4"/>
    <w:rsid w:val="00455004"/>
    <w:rsid w:val="00462D77"/>
    <w:rsid w:val="004637FE"/>
    <w:rsid w:val="004640CD"/>
    <w:rsid w:val="00467787"/>
    <w:rsid w:val="00470D8E"/>
    <w:rsid w:val="00472506"/>
    <w:rsid w:val="00491AE9"/>
    <w:rsid w:val="00491B37"/>
    <w:rsid w:val="00496902"/>
    <w:rsid w:val="004A274D"/>
    <w:rsid w:val="004B44D6"/>
    <w:rsid w:val="004B78E7"/>
    <w:rsid w:val="004C0D55"/>
    <w:rsid w:val="004D0884"/>
    <w:rsid w:val="004E5C63"/>
    <w:rsid w:val="004F20B3"/>
    <w:rsid w:val="004F5ED1"/>
    <w:rsid w:val="005077F3"/>
    <w:rsid w:val="00510FAC"/>
    <w:rsid w:val="00523AD3"/>
    <w:rsid w:val="0053699C"/>
    <w:rsid w:val="0053771A"/>
    <w:rsid w:val="00553227"/>
    <w:rsid w:val="00554A2C"/>
    <w:rsid w:val="005553B9"/>
    <w:rsid w:val="0055550D"/>
    <w:rsid w:val="00566CC2"/>
    <w:rsid w:val="00571731"/>
    <w:rsid w:val="005925F0"/>
    <w:rsid w:val="005939A4"/>
    <w:rsid w:val="00593C4C"/>
    <w:rsid w:val="005A427C"/>
    <w:rsid w:val="005B2E95"/>
    <w:rsid w:val="005B4707"/>
    <w:rsid w:val="005B623E"/>
    <w:rsid w:val="005C4AAE"/>
    <w:rsid w:val="005D6A2D"/>
    <w:rsid w:val="005D71CD"/>
    <w:rsid w:val="005E30B3"/>
    <w:rsid w:val="005E6BEE"/>
    <w:rsid w:val="005F0603"/>
    <w:rsid w:val="005F0E71"/>
    <w:rsid w:val="005F28F9"/>
    <w:rsid w:val="00601A9D"/>
    <w:rsid w:val="0060255F"/>
    <w:rsid w:val="00621111"/>
    <w:rsid w:val="00622E51"/>
    <w:rsid w:val="006326EB"/>
    <w:rsid w:val="00644937"/>
    <w:rsid w:val="00651B55"/>
    <w:rsid w:val="00653273"/>
    <w:rsid w:val="00662AAF"/>
    <w:rsid w:val="00667F67"/>
    <w:rsid w:val="00693153"/>
    <w:rsid w:val="006A4408"/>
    <w:rsid w:val="006B2BC9"/>
    <w:rsid w:val="006C3D83"/>
    <w:rsid w:val="006D7579"/>
    <w:rsid w:val="006F20EE"/>
    <w:rsid w:val="006F5A55"/>
    <w:rsid w:val="00701066"/>
    <w:rsid w:val="0071680D"/>
    <w:rsid w:val="00720152"/>
    <w:rsid w:val="00727012"/>
    <w:rsid w:val="007323E0"/>
    <w:rsid w:val="007401F8"/>
    <w:rsid w:val="007451C2"/>
    <w:rsid w:val="00754C49"/>
    <w:rsid w:val="00765FD2"/>
    <w:rsid w:val="00767A9E"/>
    <w:rsid w:val="00780C8F"/>
    <w:rsid w:val="0078792C"/>
    <w:rsid w:val="007972AB"/>
    <w:rsid w:val="007B384D"/>
    <w:rsid w:val="007B38E0"/>
    <w:rsid w:val="007B509E"/>
    <w:rsid w:val="007C6B99"/>
    <w:rsid w:val="007D258D"/>
    <w:rsid w:val="007D3252"/>
    <w:rsid w:val="007E13CF"/>
    <w:rsid w:val="007F4839"/>
    <w:rsid w:val="007F6317"/>
    <w:rsid w:val="008129CF"/>
    <w:rsid w:val="008141A0"/>
    <w:rsid w:val="00815713"/>
    <w:rsid w:val="0082301A"/>
    <w:rsid w:val="00826105"/>
    <w:rsid w:val="008272C7"/>
    <w:rsid w:val="008277A0"/>
    <w:rsid w:val="00827A57"/>
    <w:rsid w:val="008415F2"/>
    <w:rsid w:val="00857F7F"/>
    <w:rsid w:val="008601E5"/>
    <w:rsid w:val="00863BFB"/>
    <w:rsid w:val="00864D44"/>
    <w:rsid w:val="00866B38"/>
    <w:rsid w:val="008720A7"/>
    <w:rsid w:val="00880A9B"/>
    <w:rsid w:val="00884A72"/>
    <w:rsid w:val="008908E0"/>
    <w:rsid w:val="00892A3B"/>
    <w:rsid w:val="00892FA7"/>
    <w:rsid w:val="00893446"/>
    <w:rsid w:val="008934C7"/>
    <w:rsid w:val="008A45DC"/>
    <w:rsid w:val="008A59F3"/>
    <w:rsid w:val="008B4623"/>
    <w:rsid w:val="008B5E3D"/>
    <w:rsid w:val="008B6070"/>
    <w:rsid w:val="008B7207"/>
    <w:rsid w:val="008C1D67"/>
    <w:rsid w:val="008D5110"/>
    <w:rsid w:val="008F53D2"/>
    <w:rsid w:val="009019A4"/>
    <w:rsid w:val="00903F94"/>
    <w:rsid w:val="00911EF6"/>
    <w:rsid w:val="00920F91"/>
    <w:rsid w:val="00926909"/>
    <w:rsid w:val="00941EFE"/>
    <w:rsid w:val="00943C4D"/>
    <w:rsid w:val="0094775E"/>
    <w:rsid w:val="00952A7C"/>
    <w:rsid w:val="00952B1A"/>
    <w:rsid w:val="009602E5"/>
    <w:rsid w:val="00987D3C"/>
    <w:rsid w:val="009A21ED"/>
    <w:rsid w:val="009A576F"/>
    <w:rsid w:val="009B7D11"/>
    <w:rsid w:val="009D58E8"/>
    <w:rsid w:val="009D6061"/>
    <w:rsid w:val="009E0E7F"/>
    <w:rsid w:val="009E3424"/>
    <w:rsid w:val="009E5DED"/>
    <w:rsid w:val="00A047E4"/>
    <w:rsid w:val="00A11A72"/>
    <w:rsid w:val="00A2219D"/>
    <w:rsid w:val="00A22708"/>
    <w:rsid w:val="00A26BB2"/>
    <w:rsid w:val="00A35035"/>
    <w:rsid w:val="00A42DDF"/>
    <w:rsid w:val="00A52CE1"/>
    <w:rsid w:val="00A5553A"/>
    <w:rsid w:val="00A567BC"/>
    <w:rsid w:val="00A64E91"/>
    <w:rsid w:val="00A70928"/>
    <w:rsid w:val="00A73F35"/>
    <w:rsid w:val="00A815E8"/>
    <w:rsid w:val="00A83526"/>
    <w:rsid w:val="00A84C45"/>
    <w:rsid w:val="00A967F9"/>
    <w:rsid w:val="00AA0788"/>
    <w:rsid w:val="00AA2FB9"/>
    <w:rsid w:val="00AA4D7F"/>
    <w:rsid w:val="00AC2265"/>
    <w:rsid w:val="00AC6323"/>
    <w:rsid w:val="00AC77F8"/>
    <w:rsid w:val="00AD2115"/>
    <w:rsid w:val="00AD7888"/>
    <w:rsid w:val="00AE2C55"/>
    <w:rsid w:val="00AE4880"/>
    <w:rsid w:val="00AF77B9"/>
    <w:rsid w:val="00B00523"/>
    <w:rsid w:val="00B15090"/>
    <w:rsid w:val="00B15A85"/>
    <w:rsid w:val="00B27C6E"/>
    <w:rsid w:val="00B40B3B"/>
    <w:rsid w:val="00B43596"/>
    <w:rsid w:val="00B57C2A"/>
    <w:rsid w:val="00B62478"/>
    <w:rsid w:val="00B625E7"/>
    <w:rsid w:val="00B71F11"/>
    <w:rsid w:val="00B84BDD"/>
    <w:rsid w:val="00B95290"/>
    <w:rsid w:val="00BB49FC"/>
    <w:rsid w:val="00BB6E9C"/>
    <w:rsid w:val="00BC1645"/>
    <w:rsid w:val="00BC3D77"/>
    <w:rsid w:val="00BD12EE"/>
    <w:rsid w:val="00BD5244"/>
    <w:rsid w:val="00BD59EF"/>
    <w:rsid w:val="00C026BF"/>
    <w:rsid w:val="00C16BD1"/>
    <w:rsid w:val="00C22DF7"/>
    <w:rsid w:val="00C34209"/>
    <w:rsid w:val="00C5210D"/>
    <w:rsid w:val="00C57B53"/>
    <w:rsid w:val="00C73DDF"/>
    <w:rsid w:val="00C77A30"/>
    <w:rsid w:val="00C83D9F"/>
    <w:rsid w:val="00C87AA8"/>
    <w:rsid w:val="00C97511"/>
    <w:rsid w:val="00CA3DEB"/>
    <w:rsid w:val="00CA4102"/>
    <w:rsid w:val="00CA7092"/>
    <w:rsid w:val="00CC36D7"/>
    <w:rsid w:val="00CC5D8F"/>
    <w:rsid w:val="00CE78C9"/>
    <w:rsid w:val="00D11920"/>
    <w:rsid w:val="00D3679A"/>
    <w:rsid w:val="00D56828"/>
    <w:rsid w:val="00D62CF2"/>
    <w:rsid w:val="00D7177C"/>
    <w:rsid w:val="00D75883"/>
    <w:rsid w:val="00D86830"/>
    <w:rsid w:val="00D922DF"/>
    <w:rsid w:val="00DA7364"/>
    <w:rsid w:val="00DB3130"/>
    <w:rsid w:val="00DC5DC9"/>
    <w:rsid w:val="00DD6706"/>
    <w:rsid w:val="00DE1A6E"/>
    <w:rsid w:val="00DE6D5B"/>
    <w:rsid w:val="00DF380D"/>
    <w:rsid w:val="00DF46FA"/>
    <w:rsid w:val="00DF67F9"/>
    <w:rsid w:val="00E0039F"/>
    <w:rsid w:val="00E00A6B"/>
    <w:rsid w:val="00E010CB"/>
    <w:rsid w:val="00E03D45"/>
    <w:rsid w:val="00E07AA6"/>
    <w:rsid w:val="00E123A5"/>
    <w:rsid w:val="00E13B82"/>
    <w:rsid w:val="00E173CE"/>
    <w:rsid w:val="00E23559"/>
    <w:rsid w:val="00E25F66"/>
    <w:rsid w:val="00E323E7"/>
    <w:rsid w:val="00E726A9"/>
    <w:rsid w:val="00E76BD1"/>
    <w:rsid w:val="00E80D91"/>
    <w:rsid w:val="00E81C7F"/>
    <w:rsid w:val="00E82BEB"/>
    <w:rsid w:val="00E854F5"/>
    <w:rsid w:val="00E90C2D"/>
    <w:rsid w:val="00EB0059"/>
    <w:rsid w:val="00EB654C"/>
    <w:rsid w:val="00EC265E"/>
    <w:rsid w:val="00EC2A31"/>
    <w:rsid w:val="00EC52C9"/>
    <w:rsid w:val="00ED3E25"/>
    <w:rsid w:val="00ED46D2"/>
    <w:rsid w:val="00ED4DAC"/>
    <w:rsid w:val="00ED5B6B"/>
    <w:rsid w:val="00EE5B22"/>
    <w:rsid w:val="00EF361C"/>
    <w:rsid w:val="00F01B27"/>
    <w:rsid w:val="00F07077"/>
    <w:rsid w:val="00F104B0"/>
    <w:rsid w:val="00F119B2"/>
    <w:rsid w:val="00F15219"/>
    <w:rsid w:val="00F203B0"/>
    <w:rsid w:val="00F20C6E"/>
    <w:rsid w:val="00F3209A"/>
    <w:rsid w:val="00F41119"/>
    <w:rsid w:val="00F419E6"/>
    <w:rsid w:val="00F459FB"/>
    <w:rsid w:val="00F5208E"/>
    <w:rsid w:val="00F56D0E"/>
    <w:rsid w:val="00F60475"/>
    <w:rsid w:val="00F60DBF"/>
    <w:rsid w:val="00F678E4"/>
    <w:rsid w:val="00F7075A"/>
    <w:rsid w:val="00F70BC4"/>
    <w:rsid w:val="00F74B04"/>
    <w:rsid w:val="00F81E63"/>
    <w:rsid w:val="00FA02A4"/>
    <w:rsid w:val="00FA6D54"/>
    <w:rsid w:val="00FB5F57"/>
    <w:rsid w:val="00FD1A4C"/>
    <w:rsid w:val="00FD5251"/>
    <w:rsid w:val="00FD5423"/>
    <w:rsid w:val="00FE7758"/>
    <w:rsid w:val="00FF0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830"/>
    <w:pPr>
      <w:spacing w:after="200" w:line="276" w:lineRule="auto"/>
    </w:pPr>
    <w:rPr>
      <w:rFonts w:ascii="Georgia" w:hAnsi="Georgia"/>
      <w:sz w:val="20"/>
      <w:lang w:eastAsia="en-US"/>
    </w:rPr>
  </w:style>
  <w:style w:type="paragraph" w:styleId="berschrift1">
    <w:name w:val="heading 1"/>
    <w:basedOn w:val="Standard"/>
    <w:next w:val="Standard"/>
    <w:link w:val="berschrift1Zchn"/>
    <w:uiPriority w:val="99"/>
    <w:qFormat/>
    <w:rsid w:val="004246AB"/>
    <w:pPr>
      <w:keepNext/>
      <w:tabs>
        <w:tab w:val="left" w:pos="1605"/>
      </w:tabs>
      <w:spacing w:after="120" w:line="240" w:lineRule="auto"/>
      <w:jc w:val="center"/>
      <w:outlineLvl w:val="0"/>
    </w:pPr>
    <w:rPr>
      <w:rFonts w:ascii="Arial" w:hAnsi="Arial"/>
      <w:b/>
      <w:i/>
      <w:szCs w:val="24"/>
      <w:lang w:val="de-DE" w:eastAsia="de-DE"/>
    </w:rPr>
  </w:style>
  <w:style w:type="paragraph" w:styleId="berschrift2">
    <w:name w:val="heading 2"/>
    <w:basedOn w:val="Standard"/>
    <w:next w:val="Standard"/>
    <w:link w:val="berschrift2Zchn"/>
    <w:uiPriority w:val="99"/>
    <w:qFormat/>
    <w:rsid w:val="00D3679A"/>
    <w:pPr>
      <w:keepNext/>
      <w:spacing w:before="240" w:after="60" w:line="240" w:lineRule="auto"/>
      <w:outlineLvl w:val="1"/>
    </w:pPr>
    <w:rPr>
      <w:rFonts w:ascii="Cambria" w:hAnsi="Cambria"/>
      <w:b/>
      <w:bCs/>
      <w:i/>
      <w:iCs/>
      <w:sz w:val="28"/>
      <w:szCs w:val="2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sid w:val="00D3679A"/>
    <w:rPr>
      <w:rFonts w:ascii="Cambria" w:hAnsi="Cambria" w:cs="Times New Roman"/>
      <w:b/>
      <w:i/>
      <w:sz w:val="28"/>
    </w:rPr>
  </w:style>
  <w:style w:type="paragraph" w:styleId="Textkrper-Zeileneinzug">
    <w:name w:val="Body Text Indent"/>
    <w:basedOn w:val="Standard"/>
    <w:link w:val="Textkrper-ZeileneinzugZchn"/>
    <w:uiPriority w:val="99"/>
    <w:rsid w:val="004246AB"/>
    <w:pPr>
      <w:tabs>
        <w:tab w:val="left" w:pos="1980"/>
      </w:tabs>
      <w:spacing w:after="0" w:line="240" w:lineRule="auto"/>
      <w:ind w:left="1980" w:hanging="1980"/>
    </w:pPr>
    <w:rPr>
      <w:rFonts w:ascii="Arial" w:hAnsi="Arial"/>
      <w:sz w:val="22"/>
      <w:szCs w:val="24"/>
      <w:lang w:val="de-DE" w:eastAsia="de-DE"/>
    </w:rPr>
  </w:style>
  <w:style w:type="character" w:customStyle="1" w:styleId="Textkrper-ZeileneinzugZchn">
    <w:name w:val="Textkörper-Zeileneinzug Zchn"/>
    <w:basedOn w:val="Absatz-Standardschriftart"/>
    <w:link w:val="Textkrper-Zeileneinzug"/>
    <w:uiPriority w:val="99"/>
    <w:semiHidden/>
    <w:locked/>
    <w:rPr>
      <w:rFonts w:ascii="Georgia" w:hAnsi="Georgia" w:cs="Times New Roman"/>
      <w:sz w:val="20"/>
      <w:lang w:eastAsia="en-US"/>
    </w:rPr>
  </w:style>
  <w:style w:type="paragraph" w:styleId="Sprechblasentext">
    <w:name w:val="Balloon Text"/>
    <w:basedOn w:val="Standard"/>
    <w:link w:val="SprechblasentextZchn"/>
    <w:uiPriority w:val="99"/>
    <w:semiHidden/>
    <w:rsid w:val="002E01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en-US"/>
    </w:rPr>
  </w:style>
  <w:style w:type="character" w:styleId="Hyperlink">
    <w:name w:val="Hyperlink"/>
    <w:basedOn w:val="Absatz-Standardschriftart"/>
    <w:uiPriority w:val="99"/>
    <w:rsid w:val="00BD12EE"/>
    <w:rPr>
      <w:rFonts w:cs="Times New Roman"/>
      <w:color w:val="0000FF"/>
      <w:u w:val="single"/>
    </w:rPr>
  </w:style>
  <w:style w:type="paragraph" w:styleId="Kopfzeile">
    <w:name w:val="header"/>
    <w:basedOn w:val="Standard"/>
    <w:link w:val="KopfzeileZchn"/>
    <w:uiPriority w:val="99"/>
    <w:rsid w:val="003439F1"/>
    <w:pPr>
      <w:tabs>
        <w:tab w:val="center" w:pos="4536"/>
        <w:tab w:val="right" w:pos="9072"/>
      </w:tabs>
      <w:spacing w:after="0" w:line="240" w:lineRule="auto"/>
    </w:pPr>
    <w:rPr>
      <w:rFonts w:ascii="Arial" w:hAnsi="Arial"/>
      <w:sz w:val="22"/>
      <w:lang w:eastAsia="de-CH"/>
    </w:rPr>
  </w:style>
  <w:style w:type="character" w:customStyle="1" w:styleId="KopfzeileZchn">
    <w:name w:val="Kopfzeile Zchn"/>
    <w:basedOn w:val="Absatz-Standardschriftart"/>
    <w:link w:val="Kopfzeile"/>
    <w:uiPriority w:val="99"/>
    <w:locked/>
    <w:rsid w:val="003439F1"/>
    <w:rPr>
      <w:rFonts w:ascii="Arial" w:hAnsi="Arial" w:cs="Times New Roman"/>
      <w:sz w:val="22"/>
    </w:rPr>
  </w:style>
  <w:style w:type="paragraph" w:styleId="Fuzeile">
    <w:name w:val="footer"/>
    <w:basedOn w:val="Standard"/>
    <w:link w:val="FuzeileZchn"/>
    <w:uiPriority w:val="99"/>
    <w:rsid w:val="003439F1"/>
    <w:pPr>
      <w:tabs>
        <w:tab w:val="center" w:pos="4536"/>
        <w:tab w:val="right" w:pos="9072"/>
      </w:tabs>
      <w:spacing w:after="0" w:line="240" w:lineRule="auto"/>
    </w:pPr>
    <w:rPr>
      <w:rFonts w:ascii="Arial" w:hAnsi="Arial"/>
      <w:sz w:val="22"/>
      <w:lang w:eastAsia="de-CH"/>
    </w:rPr>
  </w:style>
  <w:style w:type="character" w:customStyle="1" w:styleId="FuzeileZchn">
    <w:name w:val="Fußzeile Zchn"/>
    <w:basedOn w:val="Absatz-Standardschriftart"/>
    <w:link w:val="Fuzeile"/>
    <w:uiPriority w:val="99"/>
    <w:locked/>
    <w:rsid w:val="003439F1"/>
    <w:rPr>
      <w:rFonts w:ascii="Arial" w:hAnsi="Arial" w:cs="Times New Roman"/>
      <w:sz w:val="22"/>
    </w:rPr>
  </w:style>
  <w:style w:type="paragraph" w:customStyle="1" w:styleId="Formatvorlage1">
    <w:name w:val="Formatvorlage1"/>
    <w:basedOn w:val="Standard"/>
    <w:uiPriority w:val="99"/>
    <w:rsid w:val="008141A0"/>
    <w:pPr>
      <w:spacing w:after="0" w:line="240" w:lineRule="auto"/>
    </w:pPr>
    <w:rPr>
      <w:rFonts w:ascii="Arial" w:hAnsi="Arial"/>
      <w:sz w:val="22"/>
      <w:szCs w:val="24"/>
      <w:lang w:eastAsia="de-DE"/>
    </w:rPr>
  </w:style>
  <w:style w:type="paragraph" w:styleId="Textkrper">
    <w:name w:val="Body Text"/>
    <w:basedOn w:val="Standard"/>
    <w:link w:val="TextkrperZchn"/>
    <w:uiPriority w:val="99"/>
    <w:semiHidden/>
    <w:rsid w:val="00D3679A"/>
    <w:pPr>
      <w:spacing w:after="120" w:line="240" w:lineRule="auto"/>
    </w:pPr>
    <w:rPr>
      <w:rFonts w:ascii="Arial" w:hAnsi="Arial"/>
      <w:sz w:val="22"/>
      <w:lang w:eastAsia="de-CH"/>
    </w:rPr>
  </w:style>
  <w:style w:type="character" w:customStyle="1" w:styleId="TextkrperZchn">
    <w:name w:val="Textkörper Zchn"/>
    <w:basedOn w:val="Absatz-Standardschriftart"/>
    <w:link w:val="Textkrper"/>
    <w:uiPriority w:val="99"/>
    <w:semiHidden/>
    <w:locked/>
    <w:rsid w:val="00D3679A"/>
    <w:rPr>
      <w:rFonts w:ascii="Arial" w:hAnsi="Arial" w:cs="Times New Roman"/>
      <w:sz w:val="22"/>
    </w:rPr>
  </w:style>
  <w:style w:type="table" w:styleId="Tabellenraster">
    <w:name w:val="Table Grid"/>
    <w:basedOn w:val="NormaleTabelle"/>
    <w:uiPriority w:val="99"/>
    <w:rsid w:val="00D86830"/>
    <w:rPr>
      <w:rFonts w:ascii="Georgia" w:hAnsi="Georgi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E82BEB"/>
    <w:rPr>
      <w:rFonts w:cs="Times New Roman"/>
      <w:sz w:val="16"/>
      <w:szCs w:val="16"/>
    </w:rPr>
  </w:style>
  <w:style w:type="paragraph" w:styleId="Kommentartext">
    <w:name w:val="annotation text"/>
    <w:basedOn w:val="Standard"/>
    <w:link w:val="KommentartextZchn"/>
    <w:uiPriority w:val="99"/>
    <w:semiHidden/>
    <w:rsid w:val="00E82BEB"/>
    <w:pPr>
      <w:spacing w:line="240" w:lineRule="auto"/>
    </w:pPr>
    <w:rPr>
      <w:szCs w:val="20"/>
    </w:rPr>
  </w:style>
  <w:style w:type="character" w:customStyle="1" w:styleId="KommentartextZchn">
    <w:name w:val="Kommentartext Zchn"/>
    <w:basedOn w:val="Absatz-Standardschriftart"/>
    <w:link w:val="Kommentartext"/>
    <w:uiPriority w:val="99"/>
    <w:semiHidden/>
    <w:locked/>
    <w:rsid w:val="00E82BEB"/>
    <w:rPr>
      <w:rFonts w:ascii="Georgia" w:hAnsi="Georgia" w:cs="Times New Roman"/>
      <w:lang w:eastAsia="en-US"/>
    </w:rPr>
  </w:style>
  <w:style w:type="paragraph" w:styleId="Kommentarthema">
    <w:name w:val="annotation subject"/>
    <w:basedOn w:val="Kommentartext"/>
    <w:next w:val="Kommentartext"/>
    <w:link w:val="KommentarthemaZchn"/>
    <w:uiPriority w:val="99"/>
    <w:semiHidden/>
    <w:rsid w:val="00E82BEB"/>
    <w:rPr>
      <w:b/>
      <w:bCs/>
    </w:rPr>
  </w:style>
  <w:style w:type="character" w:customStyle="1" w:styleId="KommentarthemaZchn">
    <w:name w:val="Kommentarthema Zchn"/>
    <w:basedOn w:val="KommentartextZchn"/>
    <w:link w:val="Kommentarthema"/>
    <w:uiPriority w:val="99"/>
    <w:semiHidden/>
    <w:locked/>
    <w:rsid w:val="00E82BEB"/>
    <w:rPr>
      <w:rFonts w:ascii="Georgia" w:hAnsi="Georgia"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830"/>
    <w:pPr>
      <w:spacing w:after="200" w:line="276" w:lineRule="auto"/>
    </w:pPr>
    <w:rPr>
      <w:rFonts w:ascii="Georgia" w:hAnsi="Georgia"/>
      <w:sz w:val="20"/>
      <w:lang w:eastAsia="en-US"/>
    </w:rPr>
  </w:style>
  <w:style w:type="paragraph" w:styleId="berschrift1">
    <w:name w:val="heading 1"/>
    <w:basedOn w:val="Standard"/>
    <w:next w:val="Standard"/>
    <w:link w:val="berschrift1Zchn"/>
    <w:uiPriority w:val="99"/>
    <w:qFormat/>
    <w:rsid w:val="004246AB"/>
    <w:pPr>
      <w:keepNext/>
      <w:tabs>
        <w:tab w:val="left" w:pos="1605"/>
      </w:tabs>
      <w:spacing w:after="120" w:line="240" w:lineRule="auto"/>
      <w:jc w:val="center"/>
      <w:outlineLvl w:val="0"/>
    </w:pPr>
    <w:rPr>
      <w:rFonts w:ascii="Arial" w:hAnsi="Arial"/>
      <w:b/>
      <w:i/>
      <w:szCs w:val="24"/>
      <w:lang w:val="de-DE" w:eastAsia="de-DE"/>
    </w:rPr>
  </w:style>
  <w:style w:type="paragraph" w:styleId="berschrift2">
    <w:name w:val="heading 2"/>
    <w:basedOn w:val="Standard"/>
    <w:next w:val="Standard"/>
    <w:link w:val="berschrift2Zchn"/>
    <w:uiPriority w:val="99"/>
    <w:qFormat/>
    <w:rsid w:val="00D3679A"/>
    <w:pPr>
      <w:keepNext/>
      <w:spacing w:before="240" w:after="60" w:line="240" w:lineRule="auto"/>
      <w:outlineLvl w:val="1"/>
    </w:pPr>
    <w:rPr>
      <w:rFonts w:ascii="Cambria" w:hAnsi="Cambria"/>
      <w:b/>
      <w:bCs/>
      <w:i/>
      <w:iCs/>
      <w:sz w:val="28"/>
      <w:szCs w:val="2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sid w:val="00D3679A"/>
    <w:rPr>
      <w:rFonts w:ascii="Cambria" w:hAnsi="Cambria" w:cs="Times New Roman"/>
      <w:b/>
      <w:i/>
      <w:sz w:val="28"/>
    </w:rPr>
  </w:style>
  <w:style w:type="paragraph" w:styleId="Textkrper-Zeileneinzug">
    <w:name w:val="Body Text Indent"/>
    <w:basedOn w:val="Standard"/>
    <w:link w:val="Textkrper-ZeileneinzugZchn"/>
    <w:uiPriority w:val="99"/>
    <w:rsid w:val="004246AB"/>
    <w:pPr>
      <w:tabs>
        <w:tab w:val="left" w:pos="1980"/>
      </w:tabs>
      <w:spacing w:after="0" w:line="240" w:lineRule="auto"/>
      <w:ind w:left="1980" w:hanging="1980"/>
    </w:pPr>
    <w:rPr>
      <w:rFonts w:ascii="Arial" w:hAnsi="Arial"/>
      <w:sz w:val="22"/>
      <w:szCs w:val="24"/>
      <w:lang w:val="de-DE" w:eastAsia="de-DE"/>
    </w:rPr>
  </w:style>
  <w:style w:type="character" w:customStyle="1" w:styleId="Textkrper-ZeileneinzugZchn">
    <w:name w:val="Textkörper-Zeileneinzug Zchn"/>
    <w:basedOn w:val="Absatz-Standardschriftart"/>
    <w:link w:val="Textkrper-Zeileneinzug"/>
    <w:uiPriority w:val="99"/>
    <w:semiHidden/>
    <w:locked/>
    <w:rPr>
      <w:rFonts w:ascii="Georgia" w:hAnsi="Georgia" w:cs="Times New Roman"/>
      <w:sz w:val="20"/>
      <w:lang w:eastAsia="en-US"/>
    </w:rPr>
  </w:style>
  <w:style w:type="paragraph" w:styleId="Sprechblasentext">
    <w:name w:val="Balloon Text"/>
    <w:basedOn w:val="Standard"/>
    <w:link w:val="SprechblasentextZchn"/>
    <w:uiPriority w:val="99"/>
    <w:semiHidden/>
    <w:rsid w:val="002E01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en-US"/>
    </w:rPr>
  </w:style>
  <w:style w:type="character" w:styleId="Hyperlink">
    <w:name w:val="Hyperlink"/>
    <w:basedOn w:val="Absatz-Standardschriftart"/>
    <w:uiPriority w:val="99"/>
    <w:rsid w:val="00BD12EE"/>
    <w:rPr>
      <w:rFonts w:cs="Times New Roman"/>
      <w:color w:val="0000FF"/>
      <w:u w:val="single"/>
    </w:rPr>
  </w:style>
  <w:style w:type="paragraph" w:styleId="Kopfzeile">
    <w:name w:val="header"/>
    <w:basedOn w:val="Standard"/>
    <w:link w:val="KopfzeileZchn"/>
    <w:uiPriority w:val="99"/>
    <w:rsid w:val="003439F1"/>
    <w:pPr>
      <w:tabs>
        <w:tab w:val="center" w:pos="4536"/>
        <w:tab w:val="right" w:pos="9072"/>
      </w:tabs>
      <w:spacing w:after="0" w:line="240" w:lineRule="auto"/>
    </w:pPr>
    <w:rPr>
      <w:rFonts w:ascii="Arial" w:hAnsi="Arial"/>
      <w:sz w:val="22"/>
      <w:lang w:eastAsia="de-CH"/>
    </w:rPr>
  </w:style>
  <w:style w:type="character" w:customStyle="1" w:styleId="KopfzeileZchn">
    <w:name w:val="Kopfzeile Zchn"/>
    <w:basedOn w:val="Absatz-Standardschriftart"/>
    <w:link w:val="Kopfzeile"/>
    <w:uiPriority w:val="99"/>
    <w:locked/>
    <w:rsid w:val="003439F1"/>
    <w:rPr>
      <w:rFonts w:ascii="Arial" w:hAnsi="Arial" w:cs="Times New Roman"/>
      <w:sz w:val="22"/>
    </w:rPr>
  </w:style>
  <w:style w:type="paragraph" w:styleId="Fuzeile">
    <w:name w:val="footer"/>
    <w:basedOn w:val="Standard"/>
    <w:link w:val="FuzeileZchn"/>
    <w:uiPriority w:val="99"/>
    <w:rsid w:val="003439F1"/>
    <w:pPr>
      <w:tabs>
        <w:tab w:val="center" w:pos="4536"/>
        <w:tab w:val="right" w:pos="9072"/>
      </w:tabs>
      <w:spacing w:after="0" w:line="240" w:lineRule="auto"/>
    </w:pPr>
    <w:rPr>
      <w:rFonts w:ascii="Arial" w:hAnsi="Arial"/>
      <w:sz w:val="22"/>
      <w:lang w:eastAsia="de-CH"/>
    </w:rPr>
  </w:style>
  <w:style w:type="character" w:customStyle="1" w:styleId="FuzeileZchn">
    <w:name w:val="Fußzeile Zchn"/>
    <w:basedOn w:val="Absatz-Standardschriftart"/>
    <w:link w:val="Fuzeile"/>
    <w:uiPriority w:val="99"/>
    <w:locked/>
    <w:rsid w:val="003439F1"/>
    <w:rPr>
      <w:rFonts w:ascii="Arial" w:hAnsi="Arial" w:cs="Times New Roman"/>
      <w:sz w:val="22"/>
    </w:rPr>
  </w:style>
  <w:style w:type="paragraph" w:customStyle="1" w:styleId="Formatvorlage1">
    <w:name w:val="Formatvorlage1"/>
    <w:basedOn w:val="Standard"/>
    <w:uiPriority w:val="99"/>
    <w:rsid w:val="008141A0"/>
    <w:pPr>
      <w:spacing w:after="0" w:line="240" w:lineRule="auto"/>
    </w:pPr>
    <w:rPr>
      <w:rFonts w:ascii="Arial" w:hAnsi="Arial"/>
      <w:sz w:val="22"/>
      <w:szCs w:val="24"/>
      <w:lang w:eastAsia="de-DE"/>
    </w:rPr>
  </w:style>
  <w:style w:type="paragraph" w:styleId="Textkrper">
    <w:name w:val="Body Text"/>
    <w:basedOn w:val="Standard"/>
    <w:link w:val="TextkrperZchn"/>
    <w:uiPriority w:val="99"/>
    <w:semiHidden/>
    <w:rsid w:val="00D3679A"/>
    <w:pPr>
      <w:spacing w:after="120" w:line="240" w:lineRule="auto"/>
    </w:pPr>
    <w:rPr>
      <w:rFonts w:ascii="Arial" w:hAnsi="Arial"/>
      <w:sz w:val="22"/>
      <w:lang w:eastAsia="de-CH"/>
    </w:rPr>
  </w:style>
  <w:style w:type="character" w:customStyle="1" w:styleId="TextkrperZchn">
    <w:name w:val="Textkörper Zchn"/>
    <w:basedOn w:val="Absatz-Standardschriftart"/>
    <w:link w:val="Textkrper"/>
    <w:uiPriority w:val="99"/>
    <w:semiHidden/>
    <w:locked/>
    <w:rsid w:val="00D3679A"/>
    <w:rPr>
      <w:rFonts w:ascii="Arial" w:hAnsi="Arial" w:cs="Times New Roman"/>
      <w:sz w:val="22"/>
    </w:rPr>
  </w:style>
  <w:style w:type="table" w:styleId="Tabellenraster">
    <w:name w:val="Table Grid"/>
    <w:basedOn w:val="NormaleTabelle"/>
    <w:uiPriority w:val="99"/>
    <w:rsid w:val="00D86830"/>
    <w:rPr>
      <w:rFonts w:ascii="Georgia" w:hAnsi="Georgi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E82BEB"/>
    <w:rPr>
      <w:rFonts w:cs="Times New Roman"/>
      <w:sz w:val="16"/>
      <w:szCs w:val="16"/>
    </w:rPr>
  </w:style>
  <w:style w:type="paragraph" w:styleId="Kommentartext">
    <w:name w:val="annotation text"/>
    <w:basedOn w:val="Standard"/>
    <w:link w:val="KommentartextZchn"/>
    <w:uiPriority w:val="99"/>
    <w:semiHidden/>
    <w:rsid w:val="00E82BEB"/>
    <w:pPr>
      <w:spacing w:line="240" w:lineRule="auto"/>
    </w:pPr>
    <w:rPr>
      <w:szCs w:val="20"/>
    </w:rPr>
  </w:style>
  <w:style w:type="character" w:customStyle="1" w:styleId="KommentartextZchn">
    <w:name w:val="Kommentartext Zchn"/>
    <w:basedOn w:val="Absatz-Standardschriftart"/>
    <w:link w:val="Kommentartext"/>
    <w:uiPriority w:val="99"/>
    <w:semiHidden/>
    <w:locked/>
    <w:rsid w:val="00E82BEB"/>
    <w:rPr>
      <w:rFonts w:ascii="Georgia" w:hAnsi="Georgia" w:cs="Times New Roman"/>
      <w:lang w:eastAsia="en-US"/>
    </w:rPr>
  </w:style>
  <w:style w:type="paragraph" w:styleId="Kommentarthema">
    <w:name w:val="annotation subject"/>
    <w:basedOn w:val="Kommentartext"/>
    <w:next w:val="Kommentartext"/>
    <w:link w:val="KommentarthemaZchn"/>
    <w:uiPriority w:val="99"/>
    <w:semiHidden/>
    <w:rsid w:val="00E82BEB"/>
    <w:rPr>
      <w:b/>
      <w:bCs/>
    </w:rPr>
  </w:style>
  <w:style w:type="character" w:customStyle="1" w:styleId="KommentarthemaZchn">
    <w:name w:val="Kommentarthema Zchn"/>
    <w:basedOn w:val="KommentartextZchn"/>
    <w:link w:val="Kommentarthema"/>
    <w:uiPriority w:val="99"/>
    <w:semiHidden/>
    <w:locked/>
    <w:rsid w:val="00E82BEB"/>
    <w:rPr>
      <w:rFonts w:ascii="Georgia" w:hAnsi="Georgia"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8742">
      <w:marLeft w:val="0"/>
      <w:marRight w:val="0"/>
      <w:marTop w:val="0"/>
      <w:marBottom w:val="0"/>
      <w:divBdr>
        <w:top w:val="none" w:sz="0" w:space="0" w:color="auto"/>
        <w:left w:val="none" w:sz="0" w:space="0" w:color="auto"/>
        <w:bottom w:val="none" w:sz="0" w:space="0" w:color="auto"/>
        <w:right w:val="none" w:sz="0" w:space="0" w:color="auto"/>
      </w:divBdr>
    </w:div>
    <w:div w:id="3849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0BAB-0199-4E88-BB62-9988B8AD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3925</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Reka Schweizer Reisekasse</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Scheidegger Julia</dc:creator>
  <cp:lastModifiedBy>Ziemiecki Juliane</cp:lastModifiedBy>
  <cp:revision>5</cp:revision>
  <cp:lastPrinted>2018-04-09T10:15:00Z</cp:lastPrinted>
  <dcterms:created xsi:type="dcterms:W3CDTF">2018-04-16T06:39:00Z</dcterms:created>
  <dcterms:modified xsi:type="dcterms:W3CDTF">2018-04-17T14:56:00Z</dcterms:modified>
</cp:coreProperties>
</file>